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2880"/>
      </w:pPr>
      <w:r>
        <w:t xml:space="preserve"/>
      </w:r>
    </w:p>
    <w:p>
      <w:pPr>
        <w:spacing w:after="120" w:before="0"/>
        <w:jc w:val="center"/>
      </w:pPr>
      <w:r>
        <w:rPr>
          <w:rFonts w:ascii="Arial" w:cs="Arial" w:eastAsia="Arial" w:hAnsi="Arial"/>
          <w:b/>
          <w:bCs/>
          <w:color w:val="1F3864"/>
          <w:sz w:val="52"/>
          <w:szCs w:val="52"/>
        </w:rPr>
        <w:t xml:space="preserve">Level Ascension</w:t>
      </w:r>
    </w:p>
    <w:p>
      <w:pPr>
        <w:spacing w:after="240" w:before="0"/>
        <w:jc w:val="center"/>
      </w:pPr>
      <w:r>
        <w:rPr>
          <w:rFonts w:ascii="Arial" w:cs="Arial" w:eastAsia="Arial" w:hAnsi="Arial"/>
          <w:i/>
          <w:iCs/>
          <w:color w:val="2E5596"/>
          <w:sz w:val="28"/>
          <w:szCs w:val="28"/>
        </w:rPr>
        <w:t xml:space="preserve">A Formal Cognitive-Structural Operation and Its Generativity Across Four Domains</w:t>
      </w:r>
    </w:p>
    <w:p>
      <w:pPr>
        <w:pBdr>
          <w:bottom w:val="single" w:color="2E5596" w:sz="6" w:space="1"/>
        </w:pBdr>
        <w:spacing w:after="120" w:before="120"/>
      </w:pPr>
      <w:r>
        <w:t xml:space="preserve"/>
      </w:r>
    </w:p>
    <w:p>
      <w:pPr>
        <w:spacing w:after="0" w:before="120"/>
      </w:pPr>
      <w:r>
        <w:t xml:space="preserve"/>
      </w:r>
    </w:p>
    <w:p>
      <w:pPr>
        <w:spacing w:after="80" w:before="0"/>
        <w:jc w:val="center"/>
      </w:pPr>
      <w:r>
        <w:rPr>
          <w:rFonts w:ascii="Arial" w:cs="Arial" w:eastAsia="Arial" w:hAnsi="Arial"/>
          <w:b/>
          <w:bCs/>
          <w:sz w:val="26"/>
          <w:szCs w:val="26"/>
        </w:rPr>
        <w:t xml:space="preserve">QianJun Yu</w:t>
      </w:r>
    </w:p>
    <w:p>
      <w:pPr>
        <w:spacing w:after="80" w:before="0"/>
        <w:jc w:val="center"/>
      </w:pPr>
      <w:r>
        <w:rPr>
          <w:rFonts w:ascii="Arial" w:cs="Arial" w:eastAsia="Arial" w:hAnsi="Arial"/>
          <w:i/>
          <w:iCs/>
          <w:sz w:val="24"/>
          <w:szCs w:val="24"/>
        </w:rPr>
        <w:t xml:space="preserve">Independent Researcher</w:t>
      </w:r>
    </w:p>
    <w:p>
      <w:pPr>
        <w:spacing w:after="240" w:before="0"/>
        <w:jc w:val="center"/>
      </w:pPr>
      <w:r>
        <w:rPr>
          <w:rFonts w:ascii="Arial" w:cs="Arial" w:eastAsia="Arial" w:hAnsi="Arial"/>
          <w:sz w:val="24"/>
          <w:szCs w:val="24"/>
        </w:rPr>
        <w:t xml:space="preserve">Preprint  |  2026</w:t>
      </w:r>
    </w:p>
    <w:p>
      <w:pPr>
        <w:spacing w:after="0" w:before="120"/>
      </w:pPr>
      <w:r>
        <w:t xml:space="preserve"/>
      </w:r>
    </w:p>
    <w:p>
      <w:pPr>
        <w:spacing w:after="80" w:before="0"/>
        <w:jc w:val="center"/>
      </w:pPr>
      <w:r>
        <w:rPr>
          <w:rFonts w:ascii="Arial" w:cs="Arial" w:eastAsia="Arial" w:hAnsi="Arial"/>
          <w:b/>
          <w:bCs/>
          <w:sz w:val="22"/>
          <w:szCs w:val="22"/>
        </w:rPr>
        <w:t xml:space="preserve">Keywords:</w:t>
      </w:r>
      <w:r>
        <w:rPr>
          <w:rFonts w:ascii="Times New Roman" w:cs="Times New Roman" w:eastAsia="Times New Roman" w:hAnsi="Times New Roman"/>
          <w:i/>
          <w:iCs/>
          <w:sz w:val="22"/>
          <w:szCs w:val="22"/>
        </w:rPr>
        <w:t xml:space="preserve">  level ascension · impossible-first reasoning · unification method · cognitive architecture · discovery methodology · structural reframing · relational ontology · governance systems · scalar-tensor field</w:t>
      </w:r>
    </w:p>
    <w:p>
      <w:r>
        <w:br w:type="page"/>
      </w:r>
    </w:p>
    <w:p>
      <w:pPr>
        <w:pStyle w:val="Heading1"/>
        <w:spacing w:after="180" w:before="360"/>
      </w:pPr>
      <w:r>
        <w:rPr>
          <w:rFonts w:ascii="Arial" w:cs="Arial" w:eastAsia="Arial" w:hAnsi="Arial"/>
          <w:b/>
          <w:bCs/>
          <w:color w:val="1F3864"/>
          <w:sz w:val="32"/>
          <w:szCs w:val="32"/>
        </w:rPr>
        <w:t xml:space="preserve">Abstract</w:t>
      </w:r>
    </w:p>
    <w:p>
      <w:pPr>
        <w:pBdr>
          <w:bottom w:val="single" w:color="2E5596" w:sz="6" w:space="1"/>
        </w:pBdr>
        <w:spacing w:after="120" w:before="12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This paper formalizes Level Ascension, a cognitive-structural operation whereby a phenomenon, conflict, or paradox that resists resolution at level L is shown to be a necessary projection of a generative structure at level L+1. The operation is defined by three necessary conditions — intractability at L, generativity of the L+1 structure, and formal derivability of the L phenomenon from that structure — and one falsifiability condition specifying the primary failure classes under which the operation produces false or incomplete results.</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Level Ascension is distinguished from three related but distinct cognitive moves: reframing, which changes vocabulary without changing level; abstraction, which loses specificity in moving upward; and generalization, which expands scope without vertical movement. A valid Level Ascension preserves and explains the specific form the phenomenon takes at L by showing it to be a necessary output of the generative structure at L+1 under specifiable parameter conditions.</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The operation was not constructed as a solution to a predefined problem. It was identified as the common structure underlying two independently developed cognitive operations: Impossible-First Reasoning, which originated as a practical ambition to engage apparently impossible problems, and the Unification Method (归一法), which originated in classical Daoist philosophy as a framework for dissolving conceptual oppositions. Their combination constitutes Level Ascension as a jointly sufficient procedure. The Trinity Framework of Cognitive Systems extends this primitive combination into an execution architecture — modular and domain-sensitive — incorporating Paradoxical Coherence as a stabilization mechanism, ADPIE as a grounding mechanism, and Narrative Exploration as a detection layer for social and philosophical domains.</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The paper demonstrates the generativity of this architecture across four independent domains. In formal ontology, Level Ascension applied to the standard binary framing of existence and non-existence produces the Domain of Non-Existence framework. In relational geometry, it produces the Dimension Convergence Model with a normalized mismatch index applicable to governance and complex systems. In institutional governance, it produces the System of Eternity architecture with formally specified trust-recovery dynamics. In physical cosmology, applied without physics training as a prerequisite, it produces the Chameleon Gravity Effects Model including the falsifiable prediction ΔH/H ∼ β²|δ|.</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The failure conditions under which Level Ascension produces invalid results are formally specified: hard constraints grounded in physical necessity, resource zero-sum conditions, or identity-exclusive narratives; motivated ascension; and incomplete ascension. These conditions make the operation falsifiable rather than universally applicable.</w:t>
      </w:r>
    </w:p>
    <w:p>
      <w:r>
        <w:br w:type="page"/>
      </w:r>
    </w:p>
    <w:p>
      <w:pPr>
        <w:pStyle w:val="Heading1"/>
        <w:spacing w:after="180" w:before="360"/>
      </w:pPr>
      <w:r>
        <w:rPr>
          <w:rFonts w:ascii="Arial" w:cs="Arial" w:eastAsia="Arial" w:hAnsi="Arial"/>
          <w:b/>
          <w:bCs/>
          <w:color w:val="1F3864"/>
          <w:sz w:val="32"/>
          <w:szCs w:val="32"/>
        </w:rPr>
        <w:t xml:space="preserve">1.  The Problem of Level-Bound Analysis</w:t>
      </w:r>
    </w:p>
    <w:p>
      <w:pPr>
        <w:pBdr>
          <w:bottom w:val="single" w:color="2E5596" w:sz="6" w:space="1"/>
        </w:pBdr>
        <w:spacing w:after="120" w:before="12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Modern analytical reasoning operates through a consistent methodology: identify the relevant variables, apply appropriate operations, and derive solutions within the established problem space. This approach has produced extraordinary results across science, engineering, governance, and philosophy. Its limitation, however, is structural rather than incidental.</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When a conflict, paradox, or phenomenon resists resolution, the standard response is to apply more analytical effort at the same level — refining definitions, adding variables, increasing model complexity. This response assumes that the problem is one of insufficient analysis rather than insufficient level. In many cases, this assumption is correct. In a specific and important class of cases, it is not.</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Consider the structure of persistent binary oppositions in political philosophy: freedom versus security, equality versus efficiency, centralization versus autonomy. Centuries of sophisticated argument have not resolved these conflicts. The standard interpretation is that they reflect genuine value trade-offs requiring political negotiation. An alternative interpretation is that they are artifacts of the analytical level at which they are examined — that the conflict exists not in reality but in the conceptual structure used to describe reality. If the second interpretation is correct, additional analysis at the original level cannot resolve the conflict, because the conflict is generated by the level itself.</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The same structural problem appears across domains. In cognitive reasoning, certain problems appear impossible not because solutions do not exist but because the framing of the problem encodes the constraint that makes solutions invisible. In institutional governance, node-level conflicts persist not because nodes have irreconcilable values but because no meta-level structure exists to determine which rules apply under which conditions. In physical cosmology, certain phenomena appear as absolute constraints not because they are fundamental but because they are derived from assumptions that hold only within a restricted parameter space.</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In each case, the problem is not soluble by operations within the level where it appears. What is required is a different kind of move — one that changes the level of analysis rather than the intensity of analysis at the current level.</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This paper formalizes that move. We call it Level Ascension: a cognitive-structural operation whereby a phenomenon, conflict, or paradox at level L is shown to be a necessary projection of a generative structure at level L+1. The operation is not reframing, abstraction, or generalization — distinctions that Section 2 develops precisely. It is a formal operation with defined conditions of validity and defined conditions of failure.</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Section 2 provides the formal definition. Sections 3 through 4 establish the operation's execution architecture and demonstrate it across four independent domains. Section 5 specifies the failure conditions. Section 6 draws implications.</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The four domains are not chosen arbitrarily. They represent two independent lines of derivation — one rooted in classical philosophy, one in practical cognitive ambition — each arriving at the same structural operation through different routes. From these two origins, the operation extended into institutional design and physical cosmology, in the latter case generating a novel empirical prediction without physics training as a prerequisite. That pattern — independent discovery, convergent structure, cross-domain generativity — is itself evidence that Level Ascension describes a real cognitive-structural phenomenon rather than a post-hoc interpretive framework.</w:t>
      </w:r>
    </w:p>
    <w:p>
      <w:pPr>
        <w:spacing w:after="0" w:before="120"/>
      </w:pPr>
      <w:r>
        <w:t xml:space="preserve"/>
      </w:r>
    </w:p>
    <w:p>
      <w:pPr>
        <w:spacing w:after="80" w:before="80" w:line="276"/>
        <w:jc w:val="both"/>
      </w:pPr>
      <w:r>
        <w:rPr>
          <w:rFonts w:ascii="Times New Roman" w:cs="Times New Roman" w:eastAsia="Times New Roman" w:hAnsi="Times New Roman"/>
          <w:b/>
          <w:bCs/>
          <w:i w:val="false"/>
          <w:iCs w:val="false"/>
          <w:color w:val="000000"/>
          <w:sz w:val="24"/>
          <w:szCs w:val="24"/>
        </w:rPr>
        <w:t xml:space="preserve">Paper Architecture: The logical dependency structure of this paper is as follows. Readers may use this map to locate the load-bearing nodes and their dependencies before entering the full argument.</w:t>
      </w:r>
    </w:p>
    <w:p>
      <w:pPr>
        <w:spacing w:after="0" w:before="80"/>
      </w:pPr>
      <w:r>
        <w:t xml:space="preserve"/>
      </w:r>
    </w:p>
    <w:tbl>
      <w:tblPr>
        <w:tblW w:type="dxa" w:w="7960"/>
        <w:tblBorders>
          <w:top w:val="single" w:color="auto" w:sz="4"/>
          <w:left w:val="single" w:color="auto" w:sz="4"/>
          <w:bottom w:val="single" w:color="auto" w:sz="4"/>
          <w:right w:val="single" w:color="auto" w:sz="4"/>
          <w:insideH w:val="single" w:color="auto" w:sz="4"/>
          <w:insideV w:val="single" w:color="auto" w:sz="4"/>
        </w:tblBorders>
      </w:tblPr>
      <w:tblGrid>
        <w:gridCol w:w="700"/>
        <w:gridCol w:w="1200"/>
        <w:gridCol w:w="4500"/>
        <w:gridCol w:w="1560"/>
      </w:tblGrid>
      <w:tr>
        <w:trPr>
          <w:tblHeader/>
        </w:trPr>
        <w:tc>
          <w:tcPr>
            <w:tcW w:type="dxa" w:w="70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Claim ID</w:t>
            </w:r>
          </w:p>
        </w:tc>
        <w:tc>
          <w:tcPr>
            <w:tcW w:type="dxa" w:w="120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Type</w:t>
            </w:r>
          </w:p>
        </w:tc>
        <w:tc>
          <w:tcPr>
            <w:tcW w:type="dxa" w:w="450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Description</w:t>
            </w:r>
          </w:p>
        </w:tc>
        <w:tc>
          <w:tcPr>
            <w:tcW w:type="dxa" w:w="156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Dependencies</w:t>
            </w:r>
          </w:p>
        </w:tc>
      </w:tr>
      <w:tr>
        <w:tc>
          <w:tcPr>
            <w:tcW w:type="dxa" w:w="7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C1</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Foundational</w:t>
            </w:r>
          </w:p>
        </w:tc>
        <w:tc>
          <w:tcPr>
            <w:tcW w:type="dxa" w:w="4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Reality/analysis is organized in generative levels (L, L+1)</w:t>
            </w:r>
          </w:p>
        </w:tc>
        <w:tc>
          <w:tcPr>
            <w:tcW w:type="dxa" w:w="1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Independent</w:t>
            </w:r>
          </w:p>
        </w:tc>
      </w:tr>
      <w:tr>
        <w:tc>
          <w:tcPr>
            <w:tcW w:type="dxa" w:w="7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C2</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Definitional</w:t>
            </w:r>
          </w:p>
        </w:tc>
        <w:tc>
          <w:tcPr>
            <w:tcW w:type="dxa" w:w="4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Level Ascension is a formal operation defined by Intractability, Generativity, and Derivation</w:t>
            </w:r>
          </w:p>
        </w:tc>
        <w:tc>
          <w:tcPr>
            <w:tcW w:type="dxa" w:w="1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C1</w:t>
            </w:r>
          </w:p>
        </w:tc>
      </w:tr>
      <w:tr>
        <w:tc>
          <w:tcPr>
            <w:tcW w:type="dxa" w:w="7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C3</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Procedural</w:t>
            </w:r>
          </w:p>
        </w:tc>
        <w:tc>
          <w:tcPr>
            <w:tcW w:type="dxa" w:w="4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IFR and the Unification Method are jointly sufficient for executing Level Ascension</w:t>
            </w:r>
          </w:p>
        </w:tc>
        <w:tc>
          <w:tcPr>
            <w:tcW w:type="dxa" w:w="1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C2</w:t>
            </w:r>
          </w:p>
        </w:tc>
      </w:tr>
      <w:tr>
        <w:tc>
          <w:tcPr>
            <w:tcW w:type="dxa" w:w="7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C4</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Structural</w:t>
            </w:r>
          </w:p>
        </w:tc>
        <w:tc>
          <w:tcPr>
            <w:tcW w:type="dxa" w:w="4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The Trinity Framework (Paradoxical Coherence, ADPIE, Narrative Exploration) is the execution architecture</w:t>
            </w:r>
          </w:p>
        </w:tc>
        <w:tc>
          <w:tcPr>
            <w:tcW w:type="dxa" w:w="1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C3</w:t>
            </w:r>
          </w:p>
        </w:tc>
      </w:tr>
      <w:tr>
        <w:tc>
          <w:tcPr>
            <w:tcW w:type="dxa" w:w="7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C5</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Generative</w:t>
            </w:r>
          </w:p>
        </w:tc>
        <w:tc>
          <w:tcPr>
            <w:tcW w:type="dxa" w:w="4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Level Ascension produces novel theoretical outputs across four independent domains</w:t>
            </w:r>
          </w:p>
        </w:tc>
        <w:tc>
          <w:tcPr>
            <w:tcW w:type="dxa" w:w="1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C2, C4</w:t>
            </w:r>
          </w:p>
        </w:tc>
      </w:tr>
      <w:tr>
        <w:tc>
          <w:tcPr>
            <w:tcW w:type="dxa" w:w="7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C6</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Falsifiable</w:t>
            </w:r>
          </w:p>
        </w:tc>
        <w:tc>
          <w:tcPr>
            <w:tcW w:type="dxa" w:w="4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Specified failure classes (Hard Constraints, Motivated Ascension, Incomplete Ascension, Iterative Regress) bound the operation</w:t>
            </w:r>
          </w:p>
        </w:tc>
        <w:tc>
          <w:tcPr>
            <w:tcW w:type="dxa" w:w="1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C2, C3</w:t>
            </w:r>
          </w:p>
        </w:tc>
      </w:tr>
    </w:tbl>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The load-bearing nodes are C1 (the level structure hypothesis), C2 (the derivation standard), and the Hard Constraint Filter embedded in C6. Sections 2 through 5 develop these nodes in order. Section 4 demonstrates C5. Section 5 operationalizes C6.</w:t>
      </w:r>
    </w:p>
    <w:p>
      <w:r>
        <w:br w:type="page"/>
      </w:r>
    </w:p>
    <w:p>
      <w:pPr>
        <w:pStyle w:val="Heading1"/>
        <w:spacing w:after="180" w:before="360"/>
      </w:pPr>
      <w:r>
        <w:rPr>
          <w:rFonts w:ascii="Arial" w:cs="Arial" w:eastAsia="Arial" w:hAnsi="Arial"/>
          <w:b/>
          <w:bCs/>
          <w:color w:val="1F3864"/>
          <w:sz w:val="32"/>
          <w:szCs w:val="32"/>
        </w:rPr>
        <w:t xml:space="preserve">2.  Defining Level Ascension</w:t>
      </w:r>
    </w:p>
    <w:p>
      <w:pPr>
        <w:pBdr>
          <w:bottom w:val="single" w:color="2E5596" w:sz="6" w:space="1"/>
        </w:pBdr>
        <w:spacing w:after="120" w:before="120"/>
      </w:pPr>
      <w:r>
        <w:t xml:space="preserve"/>
      </w:r>
    </w:p>
    <w:p>
      <w:pPr>
        <w:pStyle w:val="Heading2"/>
        <w:spacing w:after="140" w:before="280"/>
      </w:pPr>
      <w:r>
        <w:rPr>
          <w:rFonts w:ascii="Arial" w:cs="Arial" w:eastAsia="Arial" w:hAnsi="Arial"/>
          <w:b/>
          <w:bCs/>
          <w:color w:val="2E5596"/>
          <w:sz w:val="28"/>
          <w:szCs w:val="28"/>
        </w:rPr>
        <w:t xml:space="preserve">2.1  The Operation and Its Necessary Conditions</w:t>
      </w:r>
    </w:p>
    <w:p>
      <w:pPr>
        <w:spacing w:after="80" w:before="80" w:line="276"/>
        <w:jc w:val="both"/>
      </w:pPr>
      <w:r>
        <w:rPr>
          <w:rFonts w:ascii="Times New Roman" w:cs="Times New Roman" w:eastAsia="Times New Roman" w:hAnsi="Times New Roman"/>
          <w:b w:val="false"/>
          <w:bCs w:val="false"/>
          <w:i/>
          <w:iCs/>
          <w:color w:val="000000"/>
          <w:sz w:val="24"/>
          <w:szCs w:val="24"/>
        </w:rPr>
        <w:t xml:space="preserve">Core Proposition: We propose that intractability at L is systematic evidence of generative constraint at L+1, rather than analytical inadequacy within L. A phenomenon becomes solvable at the level where its generating constraint resides — not by increased effort within the level where it appears.</w:t>
      </w:r>
    </w:p>
    <w:p>
      <w:pPr>
        <w:spacing w:after="0" w:before="80"/>
      </w:pPr>
      <w:r>
        <w:t xml:space="preserve"/>
      </w:r>
    </w:p>
    <w:p>
      <w:pPr>
        <w:spacing w:after="80" w:before="80" w:line="276"/>
        <w:jc w:val="both"/>
      </w:pPr>
      <w:r>
        <w:rPr>
          <w:rFonts w:ascii="Times New Roman" w:cs="Times New Roman" w:eastAsia="Times New Roman" w:hAnsi="Times New Roman"/>
          <w:b w:val="false"/>
          <w:bCs w:val="false"/>
          <w:i/>
          <w:iCs/>
          <w:color w:val="000000"/>
          <w:sz w:val="24"/>
          <w:szCs w:val="24"/>
        </w:rPr>
        <w:t xml:space="preserve">Formal Criterion: A phenomenon P at level L is intractable if and only if there exists a generative structure G at level L+1 such that P = Π(G | θ), and Π satisfies necessity, specificity, and independence. In this case, resolution of P is possible only at the level of G. This criterion is the compact form of the three necessary conditions that follow; it converts the definition from a descriptive system into a testable judgment: given any candidate P, the criterion either identifies a valid G or returns a failure classification.</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Level Ascension is a cognitive-structural operation defined by three necessary conditions:</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Condition 1 — Intractability: A conflict, paradox, or phenomenon P exists at level L that resists resolution by operations within L. Intractability is not a matter of analytical difficulty — it is structural. P cannot be resolved at L because the structure of L generates P as a necessary feature, not as a contingent problem.</w:t>
      </w:r>
    </w:p>
    <w:p>
      <w:pPr>
        <w:spacing w:after="0" w:before="6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Condition 2 — Generativity: A structure G exists at level L+1 such that P is a necessary projection of G under specifiable parameter conditions. G is the generative source of P — meaning P could not exist without G, and the specific form P takes at L is determined by G’s parameter configuration at L+1.</w:t>
      </w:r>
    </w:p>
    <w:p>
      <w:pPr>
        <w:spacing w:after="0" w:before="6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Condition 3 — Derivation: P must be derivable from G. Compatibility is insufficient. If P could exist independently of G, or if G merely accommodates P without producing it, the ascension is invalid. A valid derivation shows that P is what G looks like from within L — a projection, not a coincidence.</w:t>
      </w:r>
    </w:p>
    <w:p>
      <w:pPr>
        <w:spacing w:after="0" w:before="6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Together these three conditions define what Level Ascension is. A fourth condition defines when it fails:</w:t>
      </w:r>
    </w:p>
    <w:p>
      <w:pPr>
        <w:spacing w:after="0" w:before="6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Condition 4 — Falsifiability: When no valid G exists that satisfies Conditions 2 and 3, Level Ascension produces false resolution. The operation has been applied but no genuine L+1 structure has been identified. Section 5 specifies the primary failure classes.</w:t>
      </w:r>
    </w:p>
    <w:p>
      <w:pPr>
        <w:spacing w:after="0" w:before="100"/>
      </w:pPr>
      <w:r>
        <w:t xml:space="preserve"/>
      </w:r>
    </w:p>
    <w:p>
      <w:pPr>
        <w:spacing w:after="80" w:before="80" w:line="276"/>
        <w:jc w:val="both"/>
      </w:pPr>
      <w:r>
        <w:rPr>
          <w:rFonts w:ascii="Times New Roman" w:cs="Times New Roman" w:eastAsia="Times New Roman" w:hAnsi="Times New Roman"/>
          <w:b w:val="false"/>
          <w:bCs w:val="false"/>
          <w:i/>
          <w:iCs/>
          <w:color w:val="000000"/>
          <w:sz w:val="24"/>
          <w:szCs w:val="24"/>
        </w:rPr>
        <w:t xml:space="preserve">Formally: let P denote a phenomenon at level L, and G a structure at level L+1. Level Ascension is valid if and only if:</w:t>
      </w:r>
    </w:p>
    <w:p>
      <w:pPr>
        <w:spacing w:after="0" w:before="40"/>
      </w:pPr>
      <w:r>
        <w:t xml:space="preserve"/>
      </w:r>
    </w:p>
    <w:p>
      <w:pPr>
        <w:spacing w:after="80" w:before="80" w:line="276"/>
        <w:jc w:val="both"/>
      </w:pPr>
      <w:r>
        <w:rPr>
          <w:rFonts w:ascii="Times New Roman" w:cs="Times New Roman" w:eastAsia="Times New Roman" w:hAnsi="Times New Roman"/>
          <w:b w:val="false"/>
          <w:bCs w:val="false"/>
          <w:i/>
          <w:iCs/>
          <w:color w:val="000000"/>
          <w:sz w:val="24"/>
          <w:szCs w:val="24"/>
        </w:rPr>
        <w:t xml:space="preserve">(i)   P is intractable under all operations O within L</w:t>
      </w:r>
    </w:p>
    <w:p>
      <w:pPr>
        <w:spacing w:after="0" w:before="20"/>
      </w:pPr>
      <w:r>
        <w:t xml:space="preserve"/>
      </w:r>
    </w:p>
    <w:p>
      <w:pPr>
        <w:spacing w:after="80" w:before="80" w:line="276"/>
        <w:jc w:val="both"/>
      </w:pPr>
      <w:r>
        <w:rPr>
          <w:rFonts w:ascii="Times New Roman" w:cs="Times New Roman" w:eastAsia="Times New Roman" w:hAnsi="Times New Roman"/>
          <w:b w:val="false"/>
          <w:bCs w:val="false"/>
          <w:i/>
          <w:iCs/>
          <w:color w:val="000000"/>
          <w:sz w:val="24"/>
          <w:szCs w:val="24"/>
        </w:rPr>
        <w:t xml:space="preserve">(ii)  ∃G at L+1 such that P = Π(G | θ) for specifiable parameter conditions θ</w:t>
      </w:r>
    </w:p>
    <w:p>
      <w:pPr>
        <w:spacing w:after="0" w:before="20"/>
      </w:pPr>
      <w:r>
        <w:t xml:space="preserve"/>
      </w:r>
    </w:p>
    <w:p>
      <w:pPr>
        <w:spacing w:after="80" w:before="80" w:line="276"/>
        <w:jc w:val="both"/>
      </w:pPr>
      <w:r>
        <w:rPr>
          <w:rFonts w:ascii="Times New Roman" w:cs="Times New Roman" w:eastAsia="Times New Roman" w:hAnsi="Times New Roman"/>
          <w:b w:val="false"/>
          <w:bCs w:val="false"/>
          <w:i/>
          <w:iCs/>
          <w:color w:val="000000"/>
          <w:sz w:val="24"/>
          <w:szCs w:val="24"/>
        </w:rPr>
        <w:t xml:space="preserve">(iii) The projection Π is necessary: G without θ does not produce P</w:t>
      </w:r>
    </w:p>
    <w:p>
      <w:pPr>
        <w:spacing w:after="0" w:before="40"/>
      </w:pPr>
      <w:r>
        <w:t xml:space="preserve"/>
      </w:r>
    </w:p>
    <w:p>
      <w:pPr>
        <w:spacing w:after="80" w:before="80" w:line="276"/>
        <w:jc w:val="both"/>
      </w:pPr>
      <w:r>
        <w:rPr>
          <w:rFonts w:ascii="Times New Roman" w:cs="Times New Roman" w:eastAsia="Times New Roman" w:hAnsi="Times New Roman"/>
          <w:b w:val="false"/>
          <w:bCs w:val="false"/>
          <w:i/>
          <w:iCs/>
          <w:color w:val="000000"/>
          <w:sz w:val="24"/>
          <w:szCs w:val="24"/>
        </w:rPr>
        <w:t xml:space="preserve">Conditions (i)–(iii) are jointly necessary and sufficient. Condition (iv) — the falsifiability condition — specifies when no valid G satisfying (ii)–(iii) exists. This compact expression is not an independent claim but a notational compression of the four conditions above; all content is developed in prose in Sections 2.3–2.5 and 5.</w:t>
      </w:r>
    </w:p>
    <w:p>
      <w:pPr>
        <w:spacing w:after="0" w:before="60"/>
      </w:pPr>
      <w:r>
        <w:t xml:space="preserve"/>
      </w:r>
    </w:p>
    <w:p>
      <w:pPr>
        <w:spacing w:after="80" w:before="80" w:line="276"/>
        <w:jc w:val="both"/>
      </w:pPr>
      <w:r>
        <w:rPr>
          <w:rFonts w:ascii="Times New Roman" w:cs="Times New Roman" w:eastAsia="Times New Roman" w:hAnsi="Times New Roman"/>
          <w:b w:val="false"/>
          <w:bCs w:val="false"/>
          <w:i/>
          <w:iCs/>
          <w:color w:val="000000"/>
          <w:sz w:val="24"/>
          <w:szCs w:val="24"/>
        </w:rPr>
        <w:t xml:space="preserve">The projection operator Π in this notation is a placeholder for the domain-specific derivation relation rather than a single formally defined mathematical operation. Across the four domain applications in Section 4, Π takes structurally different forms: a mathematical function in the relational geometry domain (D_p = f(S/R)), a physical field derivation in the cosmological domain (ΔH/H ∼ β²|δ|), and a conceptual or simulation-grounded derivation relation in the ontological and governance domains. The notation P = Π(G | θ) expresses the shared structural requirement — that P is produced by G under conditions θ — without asserting that the same formal operation executes this production across all domains. What is invariant across domains is not the form of Π but the derivation standard it must satisfy: necessity, specificity, and independence as defined in Section 2.4.</w:t>
      </w:r>
    </w:p>
    <w:p>
      <w:pPr>
        <w:spacing w:after="0" w:before="120"/>
      </w:pPr>
      <w:r>
        <w:t xml:space="preserve"/>
      </w:r>
    </w:p>
    <w:p>
      <w:pPr>
        <w:pStyle w:val="Heading2"/>
        <w:spacing w:after="140" w:before="280"/>
      </w:pPr>
      <w:r>
        <w:rPr>
          <w:rFonts w:ascii="Arial" w:cs="Arial" w:eastAsia="Arial" w:hAnsi="Arial"/>
          <w:b/>
          <w:bCs/>
          <w:color w:val="2E5596"/>
          <w:sz w:val="28"/>
          <w:szCs w:val="28"/>
        </w:rPr>
        <w:t xml:space="preserve">2.2  Distinguishing Level Ascension from Related Operations</w:t>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Level Ascension is frequently conflated with three related but distinct cognitive moves. The distinctions are precise and consequential.</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Reframing changes the vocabulary or perspective through which P is described while remaining at level L. A reframed problem is still the same problem — it has been redescribed, not structurally relocated. The test: if the original conflict can re-emerge under the new description, it is reframing.</w:t>
      </w:r>
    </w:p>
    <w:p>
      <w:pPr>
        <w:spacing w:after="0" w:before="6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Abstraction moves upward by removing specificity. The result covers more cases, but the original phenomenon is not derived from the abstraction; it is merely subsumed by it. Level Ascension preserves and explains the specific form P takes rather than losing it in generality.</w:t>
      </w:r>
    </w:p>
    <w:p>
      <w:pPr>
        <w:spacing w:after="0" w:before="6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Generalization expands the scope of a claim across more instances without changing the level of analysis. It is horizontal movement, not vertical. Level Ascension is strictly vertical.</w:t>
      </w:r>
    </w:p>
    <w:p>
      <w:pPr>
        <w:spacing w:after="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2000"/>
        <w:gridCol w:w="2500"/>
        <w:gridCol w:w="2860"/>
      </w:tblGrid>
      <w:tr>
        <w:trPr>
          <w:tblHeader/>
        </w:trPr>
        <w:tc>
          <w:tcPr>
            <w:tcW w:type="dxa" w:w="200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Operation</w:t>
            </w:r>
          </w:p>
        </w:tc>
        <w:tc>
          <w:tcPr>
            <w:tcW w:type="dxa" w:w="200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Movement</w:t>
            </w:r>
          </w:p>
        </w:tc>
        <w:tc>
          <w:tcPr>
            <w:tcW w:type="dxa" w:w="250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Relation to P</w:t>
            </w:r>
          </w:p>
        </w:tc>
        <w:tc>
          <w:tcPr>
            <w:tcW w:type="dxa" w:w="286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Test</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Reframing</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Lateral (same level)</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Redescription</w:t>
            </w:r>
          </w:p>
        </w:tc>
        <w:tc>
          <w:tcPr>
            <w:tcW w:type="dxa" w:w="2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P can re-emerge under new description</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Abstraction</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Upward (loses specificity)</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Subsumption</w:t>
            </w:r>
          </w:p>
        </w:tc>
        <w:tc>
          <w:tcPr>
            <w:tcW w:type="dxa" w:w="2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P is a member of broader category</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Generalization</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Horizontal (same level)</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Scope expansion</w:t>
            </w:r>
          </w:p>
        </w:tc>
        <w:tc>
          <w:tcPr>
            <w:tcW w:type="dxa" w:w="2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More instances, same structure</w:t>
            </w:r>
          </w:p>
        </w:tc>
      </w:tr>
      <w:tr>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Level Ascension</w:t>
            </w:r>
          </w:p>
        </w:tc>
        <w:tc>
          <w:tcPr>
            <w:tcW w:type="dxa" w:w="2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Upward (preserves specificity)</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Derivation</w:t>
            </w:r>
          </w:p>
        </w:tc>
        <w:tc>
          <w:tcPr>
            <w:tcW w:type="dxa" w:w="2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P is necessary output of G</w:t>
            </w:r>
          </w:p>
        </w:tc>
      </w:tr>
    </w:tbl>
    <w:p>
      <w:pPr>
        <w:spacing w:after="0" w:before="120"/>
      </w:pPr>
      <w:r>
        <w:t xml:space="preserve"/>
      </w:r>
    </w:p>
    <w:p>
      <w:pPr>
        <w:pStyle w:val="Heading2"/>
        <w:spacing w:after="140" w:before="280"/>
      </w:pPr>
      <w:r>
        <w:rPr>
          <w:rFonts w:ascii="Arial" w:cs="Arial" w:eastAsia="Arial" w:hAnsi="Arial"/>
          <w:b/>
          <w:bCs/>
          <w:color w:val="2E5596"/>
          <w:sz w:val="28"/>
          <w:szCs w:val="28"/>
        </w:rPr>
        <w:t xml:space="preserve">2.3  The Level Structure</w:t>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Level Ascension presupposes that phenomena are organized in levels — that what appears at L is generated by structures operating at L+1. Two clarifications apply.</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First, levels are not ontological floors. The claim is not that reality is stratified into fixed tiers. For any given phenomenon P, there exists a generative structure G whose operations produce P as an output. That structure may itself be a phenomenon at a higher level with its own generative structure at L+2. Level Ascension is therefore potentially iterable, though each iteration must satisfy the three necessary conditions independently.</w:t>
      </w:r>
    </w:p>
    <w:p>
      <w:pPr>
        <w:spacing w:after="0" w:before="6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Second, levels are domain-relative. The L+1 structure for a conceptual opposition is a different kind of structure than the L+1 structure for a cosmological phenomenon. What remains constant across domains is the formal relationship between L and L+1 — generativity and derivability — not the content of what occupies each level.</w:t>
      </w:r>
    </w:p>
    <w:p>
      <w:pPr>
        <w:spacing w:after="0" w:before="120"/>
      </w:pPr>
      <w:r>
        <w:t xml:space="preserve"/>
      </w:r>
    </w:p>
    <w:p>
      <w:pPr>
        <w:pStyle w:val="Heading2"/>
        <w:spacing w:after="140" w:before="280"/>
      </w:pPr>
      <w:r>
        <w:rPr>
          <w:rFonts w:ascii="Arial" w:cs="Arial" w:eastAsia="Arial" w:hAnsi="Arial"/>
          <w:b/>
          <w:bCs/>
          <w:color w:val="2E5596"/>
          <w:sz w:val="28"/>
          <w:szCs w:val="28"/>
        </w:rPr>
        <w:t xml:space="preserve">2.4  The Derivation Standard</w:t>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The derivation condition is the most demanding and most frequently violated in practice. Three criteria specify what a valid derivation requires:</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Necessity: P must be a necessary output of G, not a possible output. If G could produce systems in which P does not appear, the derivation is weak. Formally, P is a necessary output of G under θ if and only if: (a) all models satisfying G under θ produce P, and (b) removing any essential element of G or θ causes P to fail to appear. Condition (a) establishes that the derivation is not parameter-dependent in a way that permits P to be absent under the same structural conditions. Condition (b) establishes that G is not over-specified — that each element of the generative structure contributes to producing P rather than being decorative.</w:t>
      </w:r>
    </w:p>
    <w:p>
      <w:pPr>
        <w:spacing w:after="0" w:before="6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Specificity: The derivation must explain the specific form P takes, not merely its existence.</w:t>
      </w:r>
    </w:p>
    <w:p>
      <w:pPr>
        <w:spacing w:after="0" w:before="6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Independence: The derivation must be reachable without presupposing P. If identifying G requires prior knowledge of P’s structure, the derivation is circular.</w:t>
      </w:r>
    </w:p>
    <w:p>
      <w:pPr>
        <w:spacing w:after="0" w:before="120"/>
      </w:pPr>
      <w:r>
        <w:t xml:space="preserve"/>
      </w:r>
    </w:p>
    <w:p>
      <w:pPr>
        <w:pStyle w:val="Heading2"/>
        <w:spacing w:after="140" w:before="280"/>
      </w:pPr>
      <w:r>
        <w:rPr>
          <w:rFonts w:ascii="Arial" w:cs="Arial" w:eastAsia="Arial" w:hAnsi="Arial"/>
          <w:b/>
          <w:bCs/>
          <w:color w:val="2E5596"/>
          <w:sz w:val="28"/>
          <w:szCs w:val="28"/>
        </w:rPr>
        <w:t xml:space="preserve">2.5  Relationship to Existing Formalisms</w:t>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Level Ascension shares structural similarities with two established formalisms but is not reducible to either. It resembles renormalization group theory in that it describes transitions across levels — where phenomena at L emerge as projections of structures at L+1 — and the parallel is noted in the Domain of Non-Existence paper’s discussion of constraint reorganization across scales. However, renormalization group theory operates within fixed physical formalisms and does not address the cognitive identification of generative structures or the dissolution of conceptual constraints. The operation of Level Ascension is not scale-transformation within a physical theory; it is the identification of the level at which a constraint operates, which may be physical, conceptual, institutional, or cognitive.</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Level Ascension also shares a philosophical affinity with category theory, which treats relationships rather than objects as primary. However, category theory formalizes relations within a fixed structural level — morphisms between objects that occupy the same categorical space. Level Ascension formalizes vertical transitions between levels, making direct formalization as a functor structurally misleading: L and L+1 are not objects in the same category but structurally distinct levels in a generative hierarchy. Forcing the operation into categorical language would produce formal appearance at the cost of semantic accuracy.</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A closer analog in existing literature is Kauffman’s adjacent possible, which describes how the frontier of realizable configurations expands through generative steps. Level Ascension specifies the cognitive operation that engineers that frontier shift when a target lies beyond the currently adjacent — identifying which constraints block the path and reorganizing the conditions that generate them. Where the adjacent possible describes what expands, Level Ascension specifies how the expansion is executed.</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Level Ascension therefore occupies a distinct position in the landscape of structural formalisms: it is a generative meta-operation that produces the structures to which relational formalisms (category theory) and scale-transformation formalisms (renormalization group theory) may subsequently apply. It operates at the level above both — not as a more general theory of the same kind, but as an account of how theoretical structures at any level are generated from constraints operating above them.</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One further distinction requires explicit treatment. Peirce’s abductive inference — the move from a surprising phenomenon P to a hypothesis G such that if G were true, P would follow as a matter of course — has a formal resemblance to Level Ascension. Both begin with an anomalous or intractable phenomenon and seek a structure that generates it. The distinction is precise and consequential. Abduction is unconstrained with respect to where G must be located: it searches the entire hypothesis space for any G that would explain P, without specifying the structural relationship between the level at which P appears and the level at which G must reside. Level Ascension adds a specific structural constraint that abduction does not contain: G must be at L+1 — the level immediately above L — and must generate P as a necessary projection rather than merely as a consequence. The necessity and level-specificity requirements distinguish Level Ascension from abduction both formally and operationally. Abduction asks ‘what would explain P?’ Level Ascension asks ‘at what generative level does the constraint that produces P reside, and does the structure at that level necessarily produce P?’ These are different questions with different evidentiary standards.</w:t>
      </w:r>
    </w:p>
    <w:p>
      <w:pPr>
        <w:spacing w:after="0" w:before="120"/>
      </w:pPr>
      <w:r>
        <w:t xml:space="preserve"/>
      </w:r>
    </w:p>
    <w:p>
      <w:pPr>
        <w:spacing w:after="60" w:before="120"/>
        <w:jc w:val="center"/>
      </w:pPr>
      <w:r>
        <w:drawing>
          <wp:inline distT="0" distB="0" distL="0" distR="0">
            <wp:extent cx="5524500" cy="273367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5524500" cy="2733675"/>
                    </a:xfrm>
                    <a:prstGeom prst="rect">
                      <a:avLst/>
                    </a:prstGeom>
                  </pic:spPr>
                </pic:pic>
              </a:graphicData>
            </a:graphic>
          </wp:inline>
        </w:drawing>
      </w:r>
    </w:p>
    <w:p>
      <w:pPr>
        <w:spacing w:after="120" w:before="40"/>
        <w:jc w:val="center"/>
      </w:pPr>
      <w:r>
        <w:rPr>
          <w:rFonts w:ascii="Times New Roman" w:cs="Times New Roman" w:eastAsia="Times New Roman" w:hAnsi="Times New Roman"/>
          <w:i/>
          <w:iCs/>
          <w:color w:val="444444"/>
          <w:sz w:val="20"/>
          <w:szCs w:val="20"/>
        </w:rPr>
        <w:t xml:space="preserve">Figure 1. Level Ascension — Core Operation. The phenomenon P at level L (intractable within L) is shown as a necessary projection Π(G | θ) of the generative structure G at level L+1. IFR executes the ascent (constraint identification); the Unification Method validates the projection (axis validity constraint). The generating constraint resides at L+1, making resolution possible only at that level.</w:t>
      </w:r>
    </w:p>
    <w:p>
      <w:r>
        <w:br w:type="page"/>
      </w:r>
    </w:p>
    <w:p>
      <w:pPr>
        <w:pStyle w:val="Heading1"/>
        <w:spacing w:after="180" w:before="360"/>
      </w:pPr>
      <w:r>
        <w:rPr>
          <w:rFonts w:ascii="Arial" w:cs="Arial" w:eastAsia="Arial" w:hAnsi="Arial"/>
          <w:b/>
          <w:bCs/>
          <w:color w:val="1F3864"/>
          <w:sz w:val="32"/>
          <w:szCs w:val="32"/>
        </w:rPr>
        <w:t xml:space="preserve">3.  The Execution Architecture</w:t>
      </w:r>
    </w:p>
    <w:p>
      <w:pPr>
        <w:pBdr>
          <w:bottom w:val="single" w:color="2E5596" w:sz="6" w:space="1"/>
        </w:pBdr>
        <w:spacing w:after="120" w:before="120"/>
      </w:pPr>
      <w:r>
        <w:t xml:space="preserve"/>
      </w:r>
    </w:p>
    <w:p>
      <w:pPr>
        <w:pStyle w:val="Heading2"/>
        <w:spacing w:after="140" w:before="280"/>
      </w:pPr>
      <w:r>
        <w:rPr>
          <w:rFonts w:ascii="Arial" w:cs="Arial" w:eastAsia="Arial" w:hAnsi="Arial"/>
          <w:b/>
          <w:bCs/>
          <w:color w:val="2E5596"/>
          <w:sz w:val="28"/>
          <w:szCs w:val="28"/>
        </w:rPr>
        <w:t xml:space="preserve">3.1  The Two Primitive Operations</w:t>
      </w:r>
    </w:p>
    <w:p>
      <w:pPr>
        <w:pStyle w:val="Heading3"/>
        <w:spacing w:after="100" w:before="200"/>
      </w:pPr>
      <w:r>
        <w:rPr>
          <w:rFonts w:ascii="Arial" w:cs="Arial" w:eastAsia="Arial" w:hAnsi="Arial"/>
          <w:b/>
          <w:bCs/>
          <w:color w:val="4A6FA5"/>
          <w:sz w:val="24"/>
          <w:szCs w:val="24"/>
        </w:rPr>
        <w:t xml:space="preserve">3.1.1  Overview</w:t>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Level Ascension as defined in Section 2 requires two things: a mechanism that moves analysis from level L to level L+1, and a mechanism that validates that the structure at L+1 genuinely generates the phenomenon at L. These two requirements are satisfied by two primitive operations developed independently and subsequently recognized as jointly constituting Level Ascension: Impossible-First Reasoning (IFR) and the Unification Method (归一法). Neither operation alone satisfies all three necessary conditions. Their combination does.</w:t>
      </w:r>
    </w:p>
    <w:p>
      <w:pPr>
        <w:spacing w:after="0" w:before="100"/>
      </w:pPr>
      <w:r>
        <w:t xml:space="preserve"/>
      </w:r>
    </w:p>
    <w:p>
      <w:pPr>
        <w:pStyle w:val="Heading3"/>
        <w:spacing w:after="100" w:before="200"/>
      </w:pPr>
      <w:r>
        <w:rPr>
          <w:rFonts w:ascii="Arial" w:cs="Arial" w:eastAsia="Arial" w:hAnsi="Arial"/>
          <w:b/>
          <w:bCs/>
          <w:color w:val="4A6FA5"/>
          <w:sz w:val="24"/>
          <w:szCs w:val="24"/>
        </w:rPr>
        <w:t xml:space="preserve">3.1.2  Impossible-First Reasoning as the Ascent Mechanism</w:t>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IFR originated not as a formal cognitive operation but as a practical ambition: to challenge phenomena that appear impossible to outside observers. The formal structure emerged from practice rather than deliberate design, making its arrival at Level Ascension an independent derivation.</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The operation proceeds in three stages. Stage 1 — Radical Imagination constructs a scenario that appears impossible under current understanding, treating the impossibility as structural information rather than a terminal boundary. Stage 2 — Constraint Identification analyzes why the impossibility holds, identifying the structure that enforces it at a level above the phenomenon. Stage 3 — Structural Reframing relocates analysis to the level at which the constraint operates.</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The ascent mechanism is Stage 2 → Stage 3. IFR satisfies the intractability condition by beginning where L-level analysis has failed. It partially satisfies the generativity condition by identifying that a structure at L+1 enforces the impossibility. However, IFR alone does not complete the derivation — it does not verify that the L+1 structure necessarily produces P as an output. That verification requires the Unification Method.</w:t>
      </w:r>
    </w:p>
    <w:p>
      <w:pPr>
        <w:spacing w:after="0" w:before="100"/>
      </w:pPr>
      <w:r>
        <w:t xml:space="preserve"/>
      </w:r>
    </w:p>
    <w:p>
      <w:pPr>
        <w:pStyle w:val="Heading3"/>
        <w:spacing w:after="100" w:before="200"/>
      </w:pPr>
      <w:r>
        <w:rPr>
          <w:rFonts w:ascii="Arial" w:cs="Arial" w:eastAsia="Arial" w:hAnsi="Arial"/>
          <w:b/>
          <w:bCs/>
          <w:color w:val="4A6FA5"/>
          <w:sz w:val="24"/>
          <w:szCs w:val="24"/>
        </w:rPr>
        <w:t xml:space="preserve">3.1.3  The Unification Method as the Validation Mechanism</w:t>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The Unification Method (归一法) originated in classical Daoist philosophy — specifically in structural parallels between the Dao De Jing’s account of conceptual boundary generation and the formal operation of paradox dissolution. Its conflict-dissolution function was discovered after the three-layer structure existed, making its arrival at Level Ascension similarly independent from IFR.</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The operation proceeds through three layers: Structural Abstraction (三元归二) traces observable complexity to underlying generative dimensions; Paradox Dissolution (二元归一) shows apparently irreconcilable oppositions to be complementary expressions of a shared generative structure; and Conceptual Boundary Awareness (一元归道) recognizes the conceptual framework generating the opposition as a provisional instrument rather than a permanent structural feature.</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The validation mechanism is the axis validity constraint: a proposed L+1 structure is valid only if it explains why both poles of the opposition fail when taken to their extreme, and generates a second-order question more tractable than the original conflict. This constraint operationalizes the derivation condition from Section 2.1.</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The validity of the Unification Method as a validation mechanism is not circular. UM’s axis validity constraint was developed from classical Daoist philosophy and is independently operable prior to its identification as a component of Level Ascension. Using UM to validate Level Ascension does not presuppose Level Ascension’s validity — it presupposes only the axis validity constraint, which stands independently as a criterion for distinguishing genuine structural opposition dissolution from motivated reframing. The constraint’s independence can be verified by applying it to cases where Level Ascension is not claimed: it correctly classifies binary oppositions grounded in hard constraints as non-dissolvable without reference to any Level Ascension machinery.</w:t>
      </w:r>
    </w:p>
    <w:p>
      <w:pPr>
        <w:spacing w:after="0" w:before="100"/>
      </w:pPr>
      <w:r>
        <w:t xml:space="preserve"/>
      </w:r>
    </w:p>
    <w:p>
      <w:pPr>
        <w:pStyle w:val="Heading3"/>
        <w:spacing w:after="100" w:before="200"/>
      </w:pPr>
      <w:r>
        <w:rPr>
          <w:rFonts w:ascii="Arial" w:cs="Arial" w:eastAsia="Arial" w:hAnsi="Arial"/>
          <w:b/>
          <w:bCs/>
          <w:color w:val="4A6FA5"/>
          <w:sz w:val="24"/>
          <w:szCs w:val="24"/>
        </w:rPr>
        <w:t xml:space="preserve">3.1.4  The Combined Operation</w:t>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When IFR and the Unification Method operate together, all three necessary conditions from Section 2.1 are jointly satisfied. The combined operation executes as a four-step procedure:</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Step 1 (IFR — Stage 1): Construct the impossible scenario that probes the boundary of L.</w:t>
      </w:r>
    </w:p>
    <w:p>
      <w:pPr>
        <w:spacing w:after="0" w:before="4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Step 2 (IFR — Stage 2): Identify the structural constraint enforcing the impossibility — the candidate L+1 structure.</w:t>
      </w:r>
    </w:p>
    <w:p>
      <w:pPr>
        <w:spacing w:after="0" w:before="4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Step 3 (Unification — Structural Abstraction + Paradox Dissolution): Validate the candidate structure by showing it generates P as a necessary output under specifiable conditions.</w:t>
      </w:r>
    </w:p>
    <w:p>
      <w:pPr>
        <w:spacing w:after="0" w:before="4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Step 4 (Unification — Conceptual Boundary Awareness): Recognize the L-level framework as a provisional instrument, completing epistemic relocation to L+1.</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IFR executes the ascent; the Unification Method validates the landing. Neither alone constitutes the full operation. Their combination does.</w:t>
      </w:r>
    </w:p>
    <w:p>
      <w:pPr>
        <w:spacing w:after="0" w:before="100"/>
      </w:pPr>
      <w:r>
        <w:t xml:space="preserve"/>
      </w:r>
    </w:p>
    <w:p>
      <w:pPr>
        <w:pStyle w:val="Heading3"/>
        <w:spacing w:after="100" w:before="200"/>
      </w:pPr>
      <w:r>
        <w:rPr>
          <w:rFonts w:ascii="Arial" w:cs="Arial" w:eastAsia="Arial" w:hAnsi="Arial"/>
          <w:b/>
          <w:bCs/>
          <w:color w:val="4A6FA5"/>
          <w:sz w:val="24"/>
          <w:szCs w:val="24"/>
        </w:rPr>
        <w:t xml:space="preserve">3.1.5  Independence of Origin</w:t>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The two primitive operations were developed through different routes and for different purposes. IFR emerged from a practical ambition to engage impossible problems. The Unification Method emerged from philosophical analysis of how conceptual boundaries generate opposition. Neither was designed to combine with the other. Their combination as a jointly sufficient procedure for Level Ascension was recognized after both existed independently. This independence is structurally significant — it means Level Ascension was discovered as a common structure rather than constructed as a designed solution.</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‘Discovered jointly sufficient’ is not the same claim as ‘designed to be jointly sufficient.’ The former asserts that the combination was found to satisfy the formal conditions after both operations existed independently. The latter would assert that the combination was engineered to satisfy those conditions from the outset. The former is the claim made here. The evidence is the sequence of origin: IFR and UM each predate the identification of Level Ascension as a formal operation. Their combination was recognized as jointly sufficient through retrospective analysis of what each operation was already doing, not through prospective design of a combined procedure. Verifiable evidence of prior independent existence includes Zenodo preprint records for both the Unification Method and the Trinity Framework (which contains IFR), each predating this paper. The independence claim rests on this documentary sequence, not on the author’s retrospective account alone.</w:t>
      </w:r>
    </w:p>
    <w:p>
      <w:pPr>
        <w:spacing w:after="0" w:before="140"/>
      </w:pPr>
      <w:r>
        <w:t xml:space="preserve"/>
      </w:r>
    </w:p>
    <w:p>
      <w:pPr>
        <w:pStyle w:val="Heading2"/>
        <w:spacing w:after="140" w:before="280"/>
      </w:pPr>
      <w:r>
        <w:rPr>
          <w:rFonts w:ascii="Arial" w:cs="Arial" w:eastAsia="Arial" w:hAnsi="Arial"/>
          <w:b/>
          <w:bCs/>
          <w:color w:val="2E5596"/>
          <w:sz w:val="28"/>
          <w:szCs w:val="28"/>
        </w:rPr>
        <w:t xml:space="preserve">3.2  The Execution Architecture</w:t>
      </w:r>
    </w:p>
    <w:p>
      <w:pPr>
        <w:pStyle w:val="Heading3"/>
        <w:spacing w:after="100" w:before="200"/>
      </w:pPr>
      <w:r>
        <w:rPr>
          <w:rFonts w:ascii="Arial" w:cs="Arial" w:eastAsia="Arial" w:hAnsi="Arial"/>
          <w:b/>
          <w:bCs/>
          <w:color w:val="4A6FA5"/>
          <w:sz w:val="24"/>
          <w:szCs w:val="24"/>
        </w:rPr>
        <w:t xml:space="preserve">3.2.1  Overview</w:t>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The primitive operations constitute Level Ascension as a formally executable procedure. However, the domains to which it has been applied present additional structural demands that the primitive operations alone do not address. Three demands recur: some domains require governance of multiple competing dynamics simultaneously; all outputs must be grounded in iterable action; and in social domains, phenomena at L are not always formally specifiable before the ascent begins. The Trinity Framework addresses all three demands as a modular execution architecture.</w:t>
      </w:r>
    </w:p>
    <w:p>
      <w:pPr>
        <w:spacing w:after="0" w:before="100"/>
      </w:pPr>
      <w:r>
        <w:t xml:space="preserve"/>
      </w:r>
    </w:p>
    <w:p>
      <w:pPr>
        <w:pStyle w:val="Heading3"/>
        <w:spacing w:after="100" w:before="200"/>
      </w:pPr>
      <w:r>
        <w:rPr>
          <w:rFonts w:ascii="Arial" w:cs="Arial" w:eastAsia="Arial" w:hAnsi="Arial"/>
          <w:b/>
          <w:bCs/>
          <w:color w:val="4A6FA5"/>
          <w:sz w:val="24"/>
          <w:szCs w:val="24"/>
        </w:rPr>
        <w:t xml:space="preserve">3.2.2  Paradoxical Coherence as the Stabilization Mechanism</w:t>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When Level Ascension is applied to systems rather than single phenomena, the L+1 structure must govern multiple L-level dynamics that would be mutually exclusive if applied at the same level. Paradoxical Coherence addresses this demand: it is the condition in which a system exhibits stable operation under principles that appear mutually exclusive at L, because a meta-rule at L+1 governs which principle applies under which conditions.</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The observable signature is specific and measurable: high variance in local behavior alongside low variance in system-level outcomes. When no stable meta-rule can be identified at L+1 and the system oscillates without convergence, this constitutes a real-time falsifiability test — evidence that the Level Ascension was incomplete and the generativity condition has not been fully satisfied.</w:t>
      </w:r>
    </w:p>
    <w:p>
      <w:pPr>
        <w:spacing w:after="0" w:before="100"/>
      </w:pPr>
      <w:r>
        <w:t xml:space="preserve"/>
      </w:r>
    </w:p>
    <w:p>
      <w:pPr>
        <w:pStyle w:val="Heading3"/>
        <w:spacing w:after="100" w:before="200"/>
      </w:pPr>
      <w:r>
        <w:rPr>
          <w:rFonts w:ascii="Arial" w:cs="Arial" w:eastAsia="Arial" w:hAnsi="Arial"/>
          <w:b/>
          <w:bCs/>
          <w:color w:val="4A6FA5"/>
          <w:sz w:val="24"/>
          <w:szCs w:val="24"/>
        </w:rPr>
        <w:t xml:space="preserve">3.2.3  ADPIE as the Grounding Mechanism</w:t>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Level Ascension produces structural insight — a validated L+1 generative structure. This output is formally complete but practically incomplete without a mechanism for translating it back into L-level action iteratively. ADPIE — Assessment, Diagnosis, Planning, Implementation, Evaluation — provides this mechanism. Originating in clinical nursing methodology, it was adopted because complex systems require iterative feedback rather than linear protocols.</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ADPIE moves downward from the L+1 structure into L-level action and back. The evaluation stage provides the empirical test of the derivation in practice: if interventions designed from the L+1 structure consistently produce predicted L-level outcomes, the derivation is confirmed. If they do not, the L+1 structure requires revision. ADPIE closes the operation epistemically as well as practically.</w:t>
      </w:r>
    </w:p>
    <w:p>
      <w:pPr>
        <w:spacing w:after="0" w:before="100"/>
      </w:pPr>
      <w:r>
        <w:t xml:space="preserve"/>
      </w:r>
    </w:p>
    <w:p>
      <w:pPr>
        <w:pStyle w:val="Heading3"/>
        <w:spacing w:after="100" w:before="200"/>
      </w:pPr>
      <w:r>
        <w:rPr>
          <w:rFonts w:ascii="Arial" w:cs="Arial" w:eastAsia="Arial" w:hAnsi="Arial"/>
          <w:b/>
          <w:bCs/>
          <w:color w:val="4A6FA5"/>
          <w:sz w:val="24"/>
          <w:szCs w:val="24"/>
        </w:rPr>
        <w:t xml:space="preserve">3.2.4  Narrative Exploration as the Detection Layer</w:t>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In social and philosophical domains, phenomena at L are embedded in lived experience rather than formally stated. Narrative Exploration functions as the detection layer that precedes Level Ascension in these domains — identifying structural conflicts through inhabited experience before IFR and the Unification Method execute the ascent.</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Two constraints govern its validity. The diversity requirement: a structural insight derived from Narrative Exploration is only valid if it emerges from narratives representing multiple distinct failure modes — at minimum one per pole of the original opposition. The cross-validation requirement: any insight derived through Narrative Exploration must be independently reachable through IFR applied to the same problem.</w:t>
      </w:r>
    </w:p>
    <w:p>
      <w:pPr>
        <w:spacing w:after="0" w:before="100"/>
      </w:pPr>
      <w:r>
        <w:t xml:space="preserve"/>
      </w:r>
    </w:p>
    <w:p>
      <w:pPr>
        <w:pStyle w:val="Heading3"/>
        <w:spacing w:after="100" w:before="200"/>
      </w:pPr>
      <w:r>
        <w:rPr>
          <w:rFonts w:ascii="Arial" w:cs="Arial" w:eastAsia="Arial" w:hAnsi="Arial"/>
          <w:b/>
          <w:bCs/>
          <w:color w:val="4A6FA5"/>
          <w:sz w:val="24"/>
          <w:szCs w:val="24"/>
        </w:rPr>
        <w:t xml:space="preserve">3.2.5  The Complete Execution Architecture</w:t>
      </w:r>
    </w:p>
    <w:tbl>
      <w:tblPr>
        <w:tblW w:type="dxa" w:w="8360"/>
        <w:tblBorders>
          <w:top w:val="single" w:color="auto" w:sz="4"/>
          <w:left w:val="single" w:color="auto" w:sz="4"/>
          <w:bottom w:val="single" w:color="auto" w:sz="4"/>
          <w:right w:val="single" w:color="auto" w:sz="4"/>
          <w:insideH w:val="single" w:color="auto" w:sz="4"/>
          <w:insideV w:val="single" w:color="auto" w:sz="4"/>
        </w:tblBorders>
      </w:tblPr>
      <w:tblGrid>
        <w:gridCol w:w="2200"/>
        <w:gridCol w:w="3500"/>
        <w:gridCol w:w="2660"/>
      </w:tblGrid>
      <w:tr>
        <w:trPr>
          <w:tblHeader/>
        </w:trPr>
        <w:tc>
          <w:tcPr>
            <w:tcW w:type="dxa" w:w="220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Component</w:t>
            </w:r>
          </w:p>
        </w:tc>
        <w:tc>
          <w:tcPr>
            <w:tcW w:type="dxa" w:w="350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Function</w:t>
            </w:r>
          </w:p>
        </w:tc>
        <w:tc>
          <w:tcPr>
            <w:tcW w:type="dxa" w:w="266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Position in Operation</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Narrative Exploration</w:t>
            </w:r>
          </w:p>
        </w:tc>
        <w:tc>
          <w:tcPr>
            <w:tcW w:type="dxa" w:w="3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Identifies phenomena at L in social domains</w:t>
            </w:r>
          </w:p>
        </w:tc>
        <w:tc>
          <w:tcPr>
            <w:tcW w:type="dxa" w:w="2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Detection — precedes ascent</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Impossible-First Reasoning</w:t>
            </w:r>
          </w:p>
        </w:tc>
        <w:tc>
          <w:tcPr>
            <w:tcW w:type="dxa" w:w="3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Moves analysis from L to L+1 via constraint identification</w:t>
            </w:r>
          </w:p>
        </w:tc>
        <w:tc>
          <w:tcPr>
            <w:tcW w:type="dxa" w:w="2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Ascent — primitive operation</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Unification Method</w:t>
            </w:r>
          </w:p>
        </w:tc>
        <w:tc>
          <w:tcPr>
            <w:tcW w:type="dxa" w:w="3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Validates that L+1 structure generates P as necessary output</w:t>
            </w:r>
          </w:p>
        </w:tc>
        <w:tc>
          <w:tcPr>
            <w:tcW w:type="dxa" w:w="2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Validation — primitive operation</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Paradoxical Coherence</w:t>
            </w:r>
          </w:p>
        </w:tc>
        <w:tc>
          <w:tcPr>
            <w:tcW w:type="dxa" w:w="3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Governs competing L-level dynamics under L+1 meta-rule</w:t>
            </w:r>
          </w:p>
        </w:tc>
        <w:tc>
          <w:tcPr>
            <w:tcW w:type="dxa" w:w="2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Stabilization — post-ascent</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ADPIE</w:t>
            </w:r>
          </w:p>
        </w:tc>
        <w:tc>
          <w:tcPr>
            <w:tcW w:type="dxa" w:w="3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Translates L+1 structure into iterable L-level action</w:t>
            </w:r>
          </w:p>
        </w:tc>
        <w:tc>
          <w:tcPr>
            <w:tcW w:type="dxa" w:w="26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Grounding — descent and feedback</w:t>
            </w:r>
          </w:p>
        </w:tc>
      </w:tr>
    </w:tbl>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Not all components are engaged in every application. What remains constant across all applications is the primitive combination — IFR and the Unification Method — which constitutes Level Ascension as a formally necessary and sufficient procedure.</w:t>
      </w:r>
    </w:p>
    <w:p>
      <w:r>
        <w:br w:type="page"/>
      </w:r>
    </w:p>
    <w:p>
      <w:pPr>
        <w:pStyle w:val="Heading1"/>
        <w:spacing w:after="180" w:before="360"/>
      </w:pPr>
      <w:r>
        <w:rPr>
          <w:rFonts w:ascii="Arial" w:cs="Arial" w:eastAsia="Arial" w:hAnsi="Arial"/>
          <w:b/>
          <w:bCs/>
          <w:color w:val="1F3864"/>
          <w:sz w:val="32"/>
          <w:szCs w:val="32"/>
        </w:rPr>
        <w:t xml:space="preserve">4.  Generativity — Four Domain Applications</w:t>
      </w:r>
    </w:p>
    <w:p>
      <w:pPr>
        <w:pBdr>
          <w:bottom w:val="single" w:color="2E5596" w:sz="6" w:space="1"/>
        </w:pBdr>
        <w:spacing w:after="120" w:before="120"/>
      </w:pPr>
      <w:r>
        <w:t xml:space="preserve"/>
      </w:r>
    </w:p>
    <w:p>
      <w:pPr>
        <w:pStyle w:val="Heading2"/>
        <w:spacing w:after="140" w:before="280"/>
      </w:pPr>
      <w:r>
        <w:rPr>
          <w:rFonts w:ascii="Arial" w:cs="Arial" w:eastAsia="Arial" w:hAnsi="Arial"/>
          <w:b/>
          <w:bCs/>
          <w:color w:val="2E5596"/>
          <w:sz w:val="28"/>
          <w:szCs w:val="28"/>
        </w:rPr>
        <w:t xml:space="preserve">4.1  Overview</w:t>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This section demonstrates that the execution architecture is genuinely generative — that applying it produces novel theoretical contributions in independent domains unreachable through operations within those domains alone. Four outputs are presented: the Domain of Non-Existence (formal ontology), the Dimension Convergence Model (relational geometry), the System of Eternity (institutional governance), and the Chameleon Gravity Effects Model (speculative cosmology). For each output, three elements are identified: the phenomenon at L, the L+1 structure produced, and the novel contribution unreachable from within L alone.</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The four applications satisfy the derivation condition (Condition 3) at two distinct levels of formal rigor, and this distinction is stated explicitly rather than obscured. The Dimension Convergence Model and the Chameleon Gravity Effects Model satisfy the derivation condition in the strong sense: P is mathematically derivable from G, and the derivation is formally expressed (D_eff ≈ log(I)/log(L) and ΔH/H ∼ β²|δ| respectively). The Domain of Non-Existence and the System of Eternity satisfy the derivation condition in the weak sense: P is conceptually or empirically consistent with G, and the derivation is demonstrated through structural analysis and simulation rather than analytic proof. Both levels of derivation satisfy the necessity, specificity, and independence criteria from Section 2.4 — but the strength of the formal expression differs. Future work developing formal derivations for the ontological and governance domains would advance these applications from weak to strong derivation status.</w:t>
      </w:r>
    </w:p>
    <w:p>
      <w:pPr>
        <w:spacing w:after="0" w:before="120"/>
      </w:pPr>
      <w:r>
        <w:t xml:space="preserve"/>
      </w:r>
    </w:p>
    <w:p>
      <w:pPr>
        <w:pStyle w:val="Heading2"/>
        <w:spacing w:after="140" w:before="280"/>
      </w:pPr>
      <w:r>
        <w:rPr>
          <w:rFonts w:ascii="Arial" w:cs="Arial" w:eastAsia="Arial" w:hAnsi="Arial"/>
          <w:b/>
          <w:bCs/>
          <w:color w:val="2E5596"/>
          <w:sz w:val="28"/>
          <w:szCs w:val="28"/>
        </w:rPr>
        <w:t xml:space="preserve">4.2  Domain of Non-Existence (Formal Ontology)</w:t>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Phenomenon at L: The standard ontological framing treats non-existence as simple absence — the empty complement of what exists. Within this framing, non-existence has no internal structure and impossibility is a terminal judgment. This framing is intractable for discovery methodology precisely because it assigns no actionable structure to the region beyond the boundary of the known.</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L+1 structure produced: Non-existence is formally reframed as the structured domain N(t) = U(t) − E(t) — the set of unrealized possibilities within a dynamic possibility space. Unrealized possibilities are classified as Reachable (R), Destabilizing (D), or Inconsistent (I). The adjacent possible A(E(t)) ⊆ N(t) defines the frontier at which discovery occurs. The emergence operator Φ: N(t) → E(t+1) governs transitions from unrealized to realized, subject to evaluation function F(x) ≥ Fₘᴵⁿ and stability condition S(E(t) ∪ {x}) ≥ Sₘᴵⁿ.</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Novel contribution: The reframing generates Impossible-First Reasoning as a formal discovery methodology — unreachable from within the standard ontological framing because that framing assigns no structure to the region where the target currently resides. IFR converts apparent impossibility from a terminal judgment into a structured constraint map. Applied prospectively to persistent autonomous AI agents, it generates the falsifiable structural hypothesis that long-horizon goal coherence emerges when effective context coherence exceeds threshold N and external memory retrieval operates below latency threshold T with recall accuracy ≥ 95%.</w:t>
      </w:r>
    </w:p>
    <w:p>
      <w:pPr>
        <w:spacing w:after="0" w:before="120"/>
      </w:pPr>
      <w:r>
        <w:t xml:space="preserve"/>
      </w:r>
    </w:p>
    <w:p>
      <w:pPr>
        <w:pStyle w:val="Heading2"/>
        <w:spacing w:after="140" w:before="280"/>
      </w:pPr>
      <w:r>
        <w:rPr>
          <w:rFonts w:ascii="Arial" w:cs="Arial" w:eastAsia="Arial" w:hAnsi="Arial"/>
          <w:b/>
          <w:bCs/>
          <w:color w:val="2E5596"/>
          <w:sz w:val="28"/>
          <w:szCs w:val="28"/>
        </w:rPr>
        <w:t xml:space="preserve">4.3  Dimension Convergence Model (Relational Geometry)</w:t>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Phenomenon at L: Classical geometry treats dimension as an intrinsic structural property of objects. This framing is intractable for a consistent class of empirical observations: distant stars appear as point sources, thin wires appear one-dimensional, planar surfaces appear two-dimensional despite being three-dimensional physical structures. Within the classical framing, each anomaly requires separate explanation and the underlying pattern has no unified theoretical account.</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L+1 structure produced: Dimension is formally reframed as a relational function D_p = f(S/R), where D_p is perceived dimension, S is object scale, and R is observer resolution. Three core theorems are derived: the Dimension Convergence Theorem (D_p ≤ D_ont under finite resolution), the Resolution Limit Law (D_p → 0 as R → ∞), and the Dimensional Recovery Principle (D_p → D_ont as R → 0). The information-scaling relation D_eff ≈ log(I)/log(L) is derived under explicit power-law scaling assumptions and shown to be structurally analogous to box-counting dimension.</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Novel contribution: Two contributions are unreachable from within classical geometry. First, a unified account of dimensional perception across all observational scales — all apparent anomalies are necessary projections of a single relational structure. Second, the Dimensional Mismatch extension: M = (D_system − D_decision) / D_system, a normalized diagnostic index for when low-dimensional decision tools are applied to high-dimensional systems. This index is empirically validated against World Bank WDI data across twenty countries — a contribution that object-based geometry cannot generate because it assigns dimensionality to objects rather than to observer-object relations.</w:t>
      </w:r>
    </w:p>
    <w:p>
      <w:pPr>
        <w:spacing w:after="0" w:before="120"/>
      </w:pPr>
      <w:r>
        <w:t xml:space="preserve"/>
      </w:r>
    </w:p>
    <w:p>
      <w:pPr>
        <w:pStyle w:val="Heading2"/>
        <w:spacing w:after="140" w:before="280"/>
      </w:pPr>
      <w:r>
        <w:rPr>
          <w:rFonts w:ascii="Arial" w:cs="Arial" w:eastAsia="Arial" w:hAnsi="Arial"/>
          <w:b/>
          <w:bCs/>
          <w:color w:val="2E5596"/>
          <w:sz w:val="28"/>
          <w:szCs w:val="28"/>
        </w:rPr>
        <w:t xml:space="preserve">4.4  System of Eternity (Institutional Governance)</w:t>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Phenomenon at L: Institutional governance presents a persistent structural problem: competing value systems and node-level strategies produce conflicts that resist resolution through negotiation, compromise, or dominance. The intractability is structural — resolving toward any single strategy eliminates the adaptive capacity that alternative strategies provide.</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L+1 structure produced: The meta-governance architecture with formally specified state variables T(t), D(t), C(t), S(t) governing trust, disturbance, cognition, and stability across networked nodes. The recovery threshold k_T* is derived as a function of total propagation strength (k_D + k_C). The dual dynamics of failure propagation (D + C channels, structurally always active) and recovery propagation (T channel, conditional on coupling threshold) are formally specified. The full execution architecture is engaged: Narrative Exploration as detection layer, IFR and the Unification Method for ascent and validation, Paradoxical Coherence for stabilization, ADPIE for simulation-based iterative grounding.</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Novel contribution: Simulation-based validation produces findings unreachable from single-level governance theory. Local coupling alone is insufficient to produce robust sustained ignition as a stable attractor — propagation can occur without global activation, and targeted damping mechanisms can strongly suppress cascade dynamics. The cross-domain connection between DCM and SOE — application of the mismatch index to governance systems — is itself a product of the execution architecture: neither framework generates it from within its own domain.</w:t>
      </w:r>
    </w:p>
    <w:p>
      <w:pPr>
        <w:spacing w:after="0" w:before="120"/>
      </w:pPr>
      <w:r>
        <w:t xml:space="preserve"/>
      </w:r>
    </w:p>
    <w:p>
      <w:pPr>
        <w:pStyle w:val="Heading2"/>
        <w:spacing w:after="140" w:before="280"/>
      </w:pPr>
      <w:r>
        <w:rPr>
          <w:rFonts w:ascii="Arial" w:cs="Arial" w:eastAsia="Arial" w:hAnsi="Arial"/>
          <w:b/>
          <w:bCs/>
          <w:color w:val="2E5596"/>
          <w:sz w:val="28"/>
          <w:szCs w:val="28"/>
        </w:rPr>
        <w:t xml:space="preserve">4.5  Chameleon Gravity Effects Model (Physical Cosmology)</w:t>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Phenomenon at L: The second law of thermodynamics states that entropy in a closed system does not decrease. Within standard thermodynamic framing, local entropy reversal appears impossible by definition. Separately, the Hubble tension — a statistically significant discrepancy between local and early-universe measurements of H₀ — remains unresolved within standard ΛCDM cosmology.</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Application: IFR was applied to the thermodynamic constraint without formal physics training as a prerequisite, and without prior acquaintance with the scalar-tensor field formalism that constitutes the L+1 structure. The impossible scenario: what structural conditions would make local entropy reversal conceivable? Stage 2 identifies the operative constraint: the second law assumes a uniform energy gradient across the system boundary. If that assumption fails — if the energy field has internal gradient structure — the absolute character of the constraint dissolves into a special case of a more general field structure. Stage 3 applies the Dimensional Shift reframing strategy, relocating analysis from thermodynamics to field theory where gradient structure is the primary object of analysis.</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L+1 structure produced: A scalar-tensor field with chameleon screening mechanism in which the scalar field couples to local matter density and its effective mass increases in high-density environments. The effective gravitational constant is modified as G_eff = G_N(1 + 2α²). The Hubble tension is derived as a necessary projection of this field structure: in low-density cosmic voids, the chameleon field is less screened, producing locally enhanced effective gravity and measurable shift in the local Hubble constant.</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Novel contribution: The prediction ΔH/H ∼ β²|δ| — relating local density contrast to Hubble constant variation — was generated by the cognitive operation of Level Ascension applied to a thermodynamic constraint, without formal physics training or prior acquaintance with the scalar-tensor field formalism. This prediction is falsifiable and unreachable from within standard ΛCDM cosmology because ΛCDM treats dark energy as a uniform cosmological constant — the very assumption that Level Ascension dissolves by identifying non-uniformity as a necessary feature of the L+1 field structure.</w:t>
      </w:r>
    </w:p>
    <w:p>
      <w:pPr>
        <w:spacing w:after="0" w:before="120"/>
      </w:pPr>
      <w:r>
        <w:t xml:space="preserve"/>
      </w:r>
    </w:p>
    <w:p>
      <w:pPr>
        <w:pStyle w:val="Heading2"/>
        <w:spacing w:after="140" w:before="280"/>
      </w:pPr>
      <w:r>
        <w:rPr>
          <w:rFonts w:ascii="Arial" w:cs="Arial" w:eastAsia="Arial" w:hAnsi="Arial"/>
          <w:b/>
          <w:bCs/>
          <w:color w:val="2E5596"/>
          <w:sz w:val="28"/>
          <w:szCs w:val="28"/>
        </w:rPr>
        <w:t xml:space="preserve">4.6  Cross-Domain Pattern</w:t>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The four applications share a structural signature that confirms the generativity of the execution architecture rather than domain-specific coincidence. In each case, the phenomenon at L appears intractable because a background assumption — non-existence as absence, dimension as object property, governance requiring uniformity, energy gradient as fixed parameter — is treated as a structural feature of reality rather than of the current analytical framework. The execution architecture identifies that assumption as the generative constraint, relocates analysis to the level at which the assumption operates, and produces a L+1 structure from which the original phenomenon is derivable as a necessary projection.</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The cross-domain connection between DCM and SOE warrants precise characterization. The mismatch index M = (D_system − D_decision) / D_system was derived from relational geometry without reference to governance systems. Its application to governance dimensional mismatch is a prediction of the framework — specifically, a prediction that any domain where a decision mechanism operates at lower dimensionality than the system it governs will exhibit the same structural failure modes (invisible variables, false equivalence, feedback blindness) regardless of domain content. This prediction is not post-hoc pattern recognition: the governance application appears as a worked example in Section 9.4 of the DCM paper itself, where a national governance system is analyzed using the mismatch index prior to and independently of the System of Eternity framework. The DCM governance application therefore predates any cross-framework recognition and was not constructed retrospectively. It is a necessary consequence of the L+1 structure in DCM: if dimension is a relational property determined by observer resolution, then any observer-system pair with insufficient resolution will produce information loss of the same structural type. The governance application is what the DCM framework necessarily predicts when applied to institutional decision-making. Neither framework generates this connection from within its own domain — it becomes visible only from the level at which both are recognized as applications of the same underlying relational structure.</w:t>
      </w:r>
    </w:p>
    <w:p>
      <w:r>
        <w:br w:type="page"/>
      </w:r>
    </w:p>
    <w:p>
      <w:pPr>
        <w:pStyle w:val="Heading1"/>
        <w:spacing w:after="180" w:before="360"/>
      </w:pPr>
      <w:r>
        <w:rPr>
          <w:rFonts w:ascii="Arial" w:cs="Arial" w:eastAsia="Arial" w:hAnsi="Arial"/>
          <w:b/>
          <w:bCs/>
          <w:color w:val="1F3864"/>
          <w:sz w:val="32"/>
          <w:szCs w:val="32"/>
        </w:rPr>
        <w:t xml:space="preserve">5.  Failure Conditions</w:t>
      </w:r>
    </w:p>
    <w:p>
      <w:pPr>
        <w:pBdr>
          <w:bottom w:val="single" w:color="2E5596" w:sz="6" w:space="1"/>
        </w:pBdr>
        <w:spacing w:after="120" w:before="120"/>
      </w:pPr>
      <w:r>
        <w:t xml:space="preserve"/>
      </w:r>
    </w:p>
    <w:p>
      <w:pPr>
        <w:pStyle w:val="Heading2"/>
        <w:spacing w:after="140" w:before="280"/>
      </w:pPr>
      <w:r>
        <w:rPr>
          <w:rFonts w:ascii="Arial" w:cs="Arial" w:eastAsia="Arial" w:hAnsi="Arial"/>
          <w:b/>
          <w:bCs/>
          <w:color w:val="2E5596"/>
          <w:sz w:val="28"/>
          <w:szCs w:val="28"/>
        </w:rPr>
        <w:t xml:space="preserve">5.1  Overview</w:t>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A formal operation is only as strong as its failure conditions. Without specified conditions under which Level Ascension produces false or invalid results, the operation is unfalsifiable. This section specifies three primary failure classes: conditions under which the operation is inapplicable, conditions under which it produces false resolution, and conditions under which it is incomplete. The failure conditions are derived from the formal definition in Section 2 and operationalized through validity constraints built into the execution architecture.</w:t>
      </w:r>
    </w:p>
    <w:p>
      <w:pPr>
        <w:spacing w:after="0" w:before="120"/>
      </w:pPr>
      <w:r>
        <w:t xml:space="preserve"/>
      </w:r>
    </w:p>
    <w:p>
      <w:pPr>
        <w:pStyle w:val="Heading2"/>
        <w:spacing w:after="140" w:before="280"/>
      </w:pPr>
      <w:r>
        <w:rPr>
          <w:rFonts w:ascii="Arial" w:cs="Arial" w:eastAsia="Arial" w:hAnsi="Arial"/>
          <w:b/>
          <w:bCs/>
          <w:color w:val="2E5596"/>
          <w:sz w:val="28"/>
          <w:szCs w:val="28"/>
        </w:rPr>
        <w:t xml:space="preserve">5.2  Primary Failure Class: Hard Constraints</w:t>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Level Ascension dissolves constraints that are products of conceptual frameworks rather than physical or structural necessity. It cannot dissolve constraints grounded in physical law, resource zero-sum conditions, or time-irreversible processes. The Hard Constraint Filter operationalizes this distinction as a mandatory pre-application check:</w:t>
      </w:r>
    </w:p>
    <w:p>
      <w:pPr>
        <w:spacing w:after="0" w:before="80"/>
      </w:pPr>
      <w:r>
        <w:t xml:space="preserve"/>
      </w:r>
    </w:p>
    <w:tbl>
      <w:tblPr>
        <w:tblW w:type="dxa" w:w="8360"/>
        <w:tblBorders>
          <w:top w:val="single" w:color="auto" w:sz="4"/>
          <w:left w:val="single" w:color="auto" w:sz="4"/>
          <w:bottom w:val="single" w:color="auto" w:sz="4"/>
          <w:right w:val="single" w:color="auto" w:sz="4"/>
          <w:insideH w:val="single" w:color="auto" w:sz="4"/>
          <w:insideV w:val="single" w:color="auto" w:sz="4"/>
        </w:tblBorders>
      </w:tblPr>
      <w:tblGrid>
        <w:gridCol w:w="2200"/>
        <w:gridCol w:w="3900"/>
        <w:gridCol w:w="2260"/>
      </w:tblGrid>
      <w:tr>
        <w:trPr>
          <w:tblHeader/>
        </w:trPr>
        <w:tc>
          <w:tcPr>
            <w:tcW w:type="dxa" w:w="220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Conflict Type</w:t>
            </w:r>
          </w:p>
        </w:tc>
        <w:tc>
          <w:tcPr>
            <w:tcW w:type="dxa" w:w="390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Identification Criteria</w:t>
            </w:r>
          </w:p>
        </w:tc>
        <w:tc>
          <w:tcPr>
            <w:tcW w:type="dxa" w:w="2260"/>
            <w:tcBorders>
              <w:top w:val="single" w:color="CCCCCC" w:sz="1"/>
              <w:left w:val="single" w:color="CCCCCC" w:sz="1"/>
              <w:bottom w:val="single" w:color="CCCCCC" w:sz="1"/>
              <w:right w:val="single" w:color="CCCCCC" w:sz="1"/>
            </w:tcBorders>
            <w:shd w:fill="D9E2F3" w:val="clear"/>
            <w:tcMar>
              <w:top w:type="dxa" w:w="80"/>
              <w:left w:type="dxa" w:w="120"/>
              <w:bottom w:type="dxa" w:w="80"/>
              <w:right w:type="dxa" w:w="120"/>
            </w:tcMar>
          </w:tcPr>
          <w:p>
            <w:r>
              <w:rPr>
                <w:rFonts w:ascii="Arial" w:cs="Arial" w:eastAsia="Arial" w:hAnsi="Arial"/>
                <w:b/>
                <w:bCs/>
                <w:sz w:val="22"/>
                <w:szCs w:val="22"/>
              </w:rPr>
              <w:t xml:space="preserve">Response</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Conceptual-institutional</w:t>
            </w:r>
          </w:p>
        </w:tc>
        <w:tc>
          <w:tcPr>
            <w:tcW w:type="dxa" w:w="3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Underlying variables can coexist through structural abstraction, parameterization, or dimensional shift</w:t>
            </w:r>
          </w:p>
        </w:tc>
        <w:tc>
          <w:tcPr>
            <w:tcW w:type="dxa" w:w="22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Proceed with Level Ascension</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Hard constraint</w:t>
            </w:r>
          </w:p>
        </w:tc>
        <w:tc>
          <w:tcPr>
            <w:tcW w:type="dxa" w:w="39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Resource zero-sum, time incompressibility, hierarchical dependency, or mutually exclusive identity narratives</w:t>
            </w:r>
          </w:p>
        </w:tc>
        <w:tc>
          <w:tcPr>
            <w:tcW w:type="dxa" w:w="22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Times New Roman" w:cs="Times New Roman" w:eastAsia="Times New Roman" w:hAnsi="Times New Roman"/>
                <w:sz w:val="22"/>
                <w:szCs w:val="22"/>
              </w:rPr>
              <w:t xml:space="preserve">Do not apply Level Ascension — use structural separation</w:t>
            </w:r>
          </w:p>
        </w:tc>
      </w:tr>
    </w:tbl>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Three primary hard constraint classes exist. Physical necessity: constraints grounded in conservation laws or symmetry conditions that hold universally. The second law of thermodynamics in closed systems is a constraint of this class — CGEM did not violate the second law but identified the boundary condition under which it operates as a special case. Resource zero-sum: conflicts where total supply cannot satisfy all claims simultaneously and no conceptual reframing changes the supply constraint. Identity-exclusive narratives: conflicts grounded in mutually exclusive historical or territorial claims where reframing is valid at the analytical level but rejected at the level of lived experience.</w:t>
      </w:r>
    </w:p>
    <w:p>
      <w:pPr>
        <w:spacing w:after="0" w:before="120"/>
      </w:pPr>
      <w:r>
        <w:t xml:space="preserve"/>
      </w:r>
    </w:p>
    <w:p>
      <w:pPr>
        <w:pStyle w:val="Heading2"/>
        <w:spacing w:after="140" w:before="280"/>
      </w:pPr>
      <w:r>
        <w:rPr>
          <w:rFonts w:ascii="Arial" w:cs="Arial" w:eastAsia="Arial" w:hAnsi="Arial"/>
          <w:b/>
          <w:bCs/>
          <w:color w:val="2E5596"/>
          <w:sz w:val="28"/>
          <w:szCs w:val="28"/>
        </w:rPr>
        <w:t xml:space="preserve">5.3  Secondary Failure Class: Motivated Ascension</w:t>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Even when the Hard Constraint Filter is passed, Level Ascension can fail through motivated application — when the L+1 structure is selected to produce a predetermined conclusion rather than derived through the constraint identification process. The detection signal is precise: a motivated ascension produces an L+1 structure that explains only one pole’s failure mode, not both. Three specific patterns indicate motivated ascension: axis selection bias (the proposed axis favors one pole); over-collapse (the architecture produces identical output regardless of which conflict is entered); and circular derivation (the L+1 structure was constructed with prior knowledge of P’s structure). Post-hoc parameter fitting — constructing a G/θ pair after detailed observation of P such that necessity appears satisfied retrospectively — is the primary domain where motivated ascension operates in practice, particularly in governance and complex social systems. The independence criterion from Section 2.4 and the axis validity constraint from Section 3.1.3 are the operative detection mechanisms for this failure mode. Neither guarantees elimination of motivated ascension in all cases; they establish the evidentiary standard against which any proposed ascension must be evaluated.</w:t>
      </w:r>
    </w:p>
    <w:p>
      <w:pPr>
        <w:spacing w:after="0" w:before="120"/>
      </w:pPr>
      <w:r>
        <w:t xml:space="preserve"/>
      </w:r>
    </w:p>
    <w:p>
      <w:pPr>
        <w:pStyle w:val="Heading2"/>
        <w:spacing w:after="140" w:before="280"/>
      </w:pPr>
      <w:r>
        <w:rPr>
          <w:rFonts w:ascii="Arial" w:cs="Arial" w:eastAsia="Arial" w:hAnsi="Arial"/>
          <w:b/>
          <w:bCs/>
          <w:color w:val="2E5596"/>
          <w:sz w:val="28"/>
          <w:szCs w:val="28"/>
        </w:rPr>
        <w:t xml:space="preserve">5.4  Tertiary Failure Class: Incomplete Ascension</w:t>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A third failure class occurs when Level Ascension is initiated but not completed. Incomplete ascension has two forms. Compatibility without derivation: a structure at L+1 is identified that is compatible with P but P is not shown to be a necessary output under specifiable parameter conditions. Reframing disguised as ascension: the analysis changes vocabulary rather than level, presenting lateral movement as vertical. The detection test is precise: if the original conflict can re-emerge under the new description, the move is reframing, not ascension.</w:t>
      </w:r>
    </w:p>
    <w:p>
      <w:pPr>
        <w:spacing w:after="0" w:before="120"/>
      </w:pPr>
      <w:r>
        <w:t xml:space="preserve"/>
      </w:r>
    </w:p>
    <w:p>
      <w:pPr>
        <w:pStyle w:val="Heading2"/>
        <w:spacing w:after="140" w:before="280"/>
      </w:pPr>
      <w:r>
        <w:rPr>
          <w:rFonts w:ascii="Arial" w:cs="Arial" w:eastAsia="Arial" w:hAnsi="Arial"/>
          <w:b/>
          <w:bCs/>
          <w:color w:val="2E5596"/>
          <w:sz w:val="28"/>
          <w:szCs w:val="28"/>
        </w:rPr>
        <w:t xml:space="preserve">5.5  The Falsifiability Structure</w:t>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An application of Level Ascension is falsified when any of the following conditions obtain: the Hard Constraint Filter identifies a physically necessary, resource zero-sum, or identity-exclusive constraint; the axis validity constraint fails — the proposed L+1 structure does not explain both poles’ failure modes; the derivation condition fails — the L+1 structure is compatible with P but does not derive P as a necessary output; or in social-philosophical domains, the cross-validation requirement fails — the insight from Narrative Exploration is not independently reachable through IFR. These four falsification conditions make Level Ascension a scientific operation rather than a philosophical framework.</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A fifth falsification condition addresses the iterative regress problem. Because Level Ascension is potentially iterable — an L+1 structure may itself be a phenomenon requiring ascension to L+2 — a failure at any level might in principle be attributed to 'incomplete ascension requiring a further level' rather than to genuine failure of the operation. This attribution is invalid under three conditions: (a) when the proposed further ascension does not independently satisfy all three necessary conditions and merely restates the original failure at higher vocabulary; (b) when the L+2 structure produces no additional falsifiable predictions beyond those already produced by the failed L+1 structure; and (c) when the iterative chain has been applied more than twice without producing a structure that satisfies the derivation condition. Condition (c) constitutes a provisional termination rule: iterative ascension beyond two levels without a valid derivation is classified as motivated regress rather than genuine incomplete ascension, and the original operation is considered to have failed. The two-level boundary is a working constraint pending a formal selection theory for Stage 3 reframing strategies — not a fundamental limit of the operation. If a given phenomenon demonstrably requires a third-level ascension and that ascension satisfies all three necessary conditions independently, the provisional rule yields to the formal derivation standard. The burden of proof for exceeding two levels rests entirely with the analyst executing the ascension.</w:t>
      </w:r>
    </w:p>
    <w:p>
      <w:r>
        <w:br w:type="page"/>
      </w:r>
    </w:p>
    <w:p>
      <w:pPr>
        <w:pStyle w:val="Heading1"/>
        <w:spacing w:after="180" w:before="360"/>
      </w:pPr>
      <w:r>
        <w:rPr>
          <w:rFonts w:ascii="Arial" w:cs="Arial" w:eastAsia="Arial" w:hAnsi="Arial"/>
          <w:b/>
          <w:bCs/>
          <w:color w:val="1F3864"/>
          <w:sz w:val="32"/>
          <w:szCs w:val="32"/>
        </w:rPr>
        <w:t xml:space="preserve">6.  Implications</w:t>
      </w:r>
    </w:p>
    <w:p>
      <w:pPr>
        <w:pBdr>
          <w:bottom w:val="single" w:color="2E5596" w:sz="6" w:space="1"/>
        </w:pBdr>
        <w:spacing w:after="120" w:before="120"/>
      </w:pPr>
      <w:r>
        <w:t xml:space="preserve"/>
      </w:r>
    </w:p>
    <w:p>
      <w:pPr>
        <w:pStyle w:val="Heading2"/>
        <w:spacing w:after="140" w:before="280"/>
      </w:pPr>
      <w:r>
        <w:rPr>
          <w:rFonts w:ascii="Arial" w:cs="Arial" w:eastAsia="Arial" w:hAnsi="Arial"/>
          <w:b/>
          <w:bCs/>
          <w:color w:val="2E5596"/>
          <w:sz w:val="28"/>
          <w:szCs w:val="28"/>
        </w:rPr>
        <w:t xml:space="preserve">6.1  Overview</w:t>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Three implications are developed from the formal results. The first concerns the nature of intractability. The second concerns the relationship between cognitive operations and empirical discovery. The third concerns the scope and limits of the framework itself.</w:t>
      </w:r>
    </w:p>
    <w:p>
      <w:pPr>
        <w:spacing w:after="0" w:before="120"/>
      </w:pPr>
      <w:r>
        <w:t xml:space="preserve"/>
      </w:r>
    </w:p>
    <w:p>
      <w:pPr>
        <w:pStyle w:val="Heading2"/>
        <w:spacing w:after="140" w:before="280"/>
      </w:pPr>
      <w:r>
        <w:rPr>
          <w:rFonts w:ascii="Arial" w:cs="Arial" w:eastAsia="Arial" w:hAnsi="Arial"/>
          <w:b/>
          <w:bCs/>
          <w:color w:val="2E5596"/>
          <w:sz w:val="28"/>
          <w:szCs w:val="28"/>
        </w:rPr>
        <w:t xml:space="preserve">6.2  Intractability as Structural Information</w:t>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The standard interpretation of intractable problems treats them as evidence of genuine incompatibility — that continued effort within the current framework will eventually produce resolution or confirmation of irreducibility. Level Ascension offers a precise alternative: intractability is evidence that the analytical framework generating the problem operates at the wrong level.</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This reinterpretation has a specific and limited scope. It applies to the class of problems that pass the Hard Constraint Filter. For this class, the productive question when a problem resists resolution is not “what have we missed within the current framework” but “at what level does the constraint that generates this problem operate?” This shifts the diagnostic from content to structure — from asking what the answer is to asking at what level the answer becomes visible.</w:t>
      </w:r>
    </w:p>
    <w:p>
      <w:pPr>
        <w:spacing w:after="0" w:before="120"/>
      </w:pPr>
      <w:r>
        <w:t xml:space="preserve"/>
      </w:r>
    </w:p>
    <w:p>
      <w:pPr>
        <w:pStyle w:val="Heading2"/>
        <w:spacing w:after="140" w:before="280"/>
      </w:pPr>
      <w:r>
        <w:rPr>
          <w:rFonts w:ascii="Arial" w:cs="Arial" w:eastAsia="Arial" w:hAnsi="Arial"/>
          <w:b/>
          <w:bCs/>
          <w:color w:val="2E5596"/>
          <w:sz w:val="28"/>
          <w:szCs w:val="28"/>
        </w:rPr>
        <w:t xml:space="preserve">6.3  Cognitive Operations as Empirical Generators</w:t>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The CGEM origin demonstrates something with implications beyond the paper’s formal claims. A cognitive operation — IFR applied to a thermodynamic constraint without physics training — generated a novel empirical prediction in physical cosmology: ΔH/H ∼ β²|δ|, a falsifiable claim about the relationship between local density contrast and Hubble constant variation.</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The standard account of scientific discovery treats domain expertise as a prerequisite for generating valid empirical predictions. The CGEM case challenges this at the structural level. The prediction was not generated by physics intuition. It was generated by applying a cognitive operation to a boundary condition of a physical law. What the case establishes is specific: the cognitive operation that generates candidate structures is separable from the domain expertise required to evaluate them. Level Ascension can operate as a discovery engine in domains where the operator has no formal training — producing candidate structures that domain experts then evaluate, refine, or falsify.</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If the operation that generates novel theoretical structures is formally specifiable and domain-independent, then discovery methodology is not merely a sociological account of how scientists happen to find things. It is a cognitive technology with a formal specification and a defined domain of application.</w:t>
      </w:r>
    </w:p>
    <w:p>
      <w:pPr>
        <w:spacing w:after="0" w:before="120"/>
      </w:pPr>
      <w:r>
        <w:t xml:space="preserve"/>
      </w:r>
    </w:p>
    <w:p>
      <w:pPr>
        <w:pStyle w:val="Heading2"/>
        <w:spacing w:after="140" w:before="280"/>
      </w:pPr>
      <w:r>
        <w:rPr>
          <w:rFonts w:ascii="Arial" w:cs="Arial" w:eastAsia="Arial" w:hAnsi="Arial"/>
          <w:b/>
          <w:bCs/>
          <w:color w:val="2E5596"/>
          <w:sz w:val="28"/>
          <w:szCs w:val="28"/>
        </w:rPr>
        <w:t xml:space="preserve">6.4  Scope, Limits, and Open Questions</w:t>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Three scope boundaries warrant explicit statement. First, the operation does not guarantee valid L+1 structures — it specifies the conditions under which a proposed structure is valid, but identification of the structure itself requires cognitive work that the formal specification does not automate. Second, the operation is not iteratively self-completing — each iteration must independently satisfy the three necessary conditions. Third, the relationship between Level Ascension and existing discovery frameworks — Lakatos’s distinction between hard-core constraints and revisable auxiliary assumptions, Kuhn’s account of paradigm shifts, the adjacent possible concept in complexity science — has structural connections that remain underdeveloped.</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Two open questions are identified as most consequential. First, the selection theory problem: under what structural conditions does each of the five reframing strategies in IFR’s Stage 3 apply? The current account is heuristic. A formal selection theory would make the Stage 3 procedure formally determinate. Second, the completion question: when Level Ascension produces an L+1 structure, under what conditions is a further ascent to L+2 required versus sufficient? The conditions under which an ascent is genuinely complete are not yet formally specified.</w:t>
      </w:r>
    </w:p>
    <w:p>
      <w:pPr>
        <w:spacing w:after="0" w:before="120"/>
      </w:pPr>
      <w:r>
        <w:t xml:space="preserve"/>
      </w:r>
    </w:p>
    <w:p>
      <w:pPr>
        <w:pStyle w:val="Heading2"/>
        <w:spacing w:after="140" w:before="280"/>
      </w:pPr>
      <w:r>
        <w:rPr>
          <w:rFonts w:ascii="Arial" w:cs="Arial" w:eastAsia="Arial" w:hAnsi="Arial"/>
          <w:b/>
          <w:bCs/>
          <w:color w:val="2E5596"/>
          <w:sz w:val="28"/>
          <w:szCs w:val="28"/>
        </w:rPr>
        <w:t xml:space="preserve">6.5  Closing Statement</w:t>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Level Ascension describes a cognitive-structural operation that has been independently arrived at through two distinct intellectual routes, demonstrated to produce novel contributions across four independent domains, and formally specified with defined conditions of validity and failure. It is not a philosophical framework or an interpretive lens. It is a formally executable procedure with a defined input and a defined output condition.</w:t>
      </w:r>
    </w:p>
    <w:p>
      <w:pPr>
        <w:spacing w:after="0" w:before="8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The deepest implication is not methodological but ontological. If intractable problems are systematically generated by analysis conducted at the wrong level, then the history of persistent human conflicts — in governance, cognition, ethics, and science — is not a history of insufficient effort or intelligence. It is a history of analysis conducted at the level where problems appear rather than at the level where they are generated. Level Ascension does not resolve those problems. It changes the level at which they become resolvable.</w:t>
      </w:r>
    </w:p>
    <w:p>
      <w:r>
        <w:br w:type="page"/>
      </w:r>
    </w:p>
    <w:p>
      <w:pPr>
        <w:pStyle w:val="Heading1"/>
        <w:spacing w:after="180" w:before="360"/>
      </w:pPr>
      <w:r>
        <w:rPr>
          <w:rFonts w:ascii="Arial" w:cs="Arial" w:eastAsia="Arial" w:hAnsi="Arial"/>
          <w:b/>
          <w:bCs/>
          <w:color w:val="1F3864"/>
          <w:sz w:val="32"/>
          <w:szCs w:val="32"/>
        </w:rPr>
        <w:t xml:space="preserve">References</w:t>
      </w:r>
    </w:p>
    <w:p>
      <w:pPr>
        <w:pBdr>
          <w:bottom w:val="single" w:color="2E5596" w:sz="6" w:space="1"/>
        </w:pBdr>
        <w:spacing w:after="120" w:before="12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Arthur, W.B. (2009). The Nature of Technology: What It Is and How It Evolves. Free Press.</w:t>
      </w:r>
    </w:p>
    <w:p>
      <w:pPr>
        <w:spacing w:after="0" w:before="6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Falconer, K. (2003). Fractal Geometry: Mathematical Foundations and Applications (2nd ed.). Wiley.</w:t>
      </w:r>
    </w:p>
    <w:p>
      <w:pPr>
        <w:spacing w:after="0" w:before="6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Johnson, S. (2010). Where Good Ideas Come From: The Natural History of Innovation. Riverhead Books.</w:t>
      </w:r>
    </w:p>
    <w:p>
      <w:pPr>
        <w:spacing w:after="0" w:before="6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Kauffman, S.A. (2000). Investigations. Oxford University Press.</w:t>
      </w:r>
    </w:p>
    <w:p>
      <w:pPr>
        <w:spacing w:after="0" w:before="6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Kuhn, T.S. (1962). The Structure of Scientific Revolutions. University of Chicago Press.</w:t>
      </w:r>
    </w:p>
    <w:p>
      <w:pPr>
        <w:spacing w:after="0" w:before="6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Lakatos, I. (1978). The Methodology of Scientific Research Programmes. Cambridge University Press.</w:t>
      </w:r>
    </w:p>
    <w:p>
      <w:pPr>
        <w:spacing w:after="0" w:before="6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Mandelbrot, B.B. (1982). The Fractal Geometry of Nature. W.H. Freeman.</w:t>
      </w:r>
    </w:p>
    <w:p>
      <w:pPr>
        <w:spacing w:after="0" w:before="6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METR. (2025). Measuring AI Ability to Complete Long Tasks. Technical Report. metr.org.</w:t>
      </w:r>
    </w:p>
    <w:p>
      <w:pPr>
        <w:spacing w:after="0" w:before="6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Rovelli, C. (1996). Relational quantum mechanics. International Journal of Theoretical Physics, 35(8), 1637–1678.</w:t>
      </w:r>
    </w:p>
    <w:p>
      <w:pPr>
        <w:spacing w:after="0" w:before="6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Shannon, C.E. (1948). A mathematical theory of communication. Bell System Technical Journal, 27(3), 379–423.</w:t>
      </w:r>
    </w:p>
    <w:p>
      <w:pPr>
        <w:spacing w:after="0" w:before="6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Shojaee, M., et al. (2025). The illusion of thinking: Understanding the strengths and limitations of reasoning models via the lens of problem complexity. Apple Machine Learning Research.</w:t>
      </w:r>
    </w:p>
    <w:p>
      <w:pPr>
        <w:spacing w:after="0" w:before="6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Wilson, K.G. (1971). Renormalization group and critical phenomena. Physical Review B, 4(9), 3174–3183.</w:t>
      </w:r>
    </w:p>
    <w:p>
      <w:pPr>
        <w:spacing w:after="0" w:before="6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Yu, Q. (2026a). The Domain of Non-Existence: Formal Ontology, Structured Discovery, and the Trinity Framework. Preprint.</w:t>
      </w:r>
    </w:p>
    <w:p>
      <w:pPr>
        <w:spacing w:after="0" w:before="6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Yu, Q. (2026b). Dimension Convergence Model: An Information-Based Interpretation of Perceived Dimensionality. Preprint.</w:t>
      </w:r>
    </w:p>
    <w:p>
      <w:pPr>
        <w:spacing w:after="0" w:before="6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Yu, Q. (2026c). Chameleon Gravity Effects Model v1.3. Preprint.</w:t>
      </w:r>
    </w:p>
    <w:p>
      <w:pPr>
        <w:spacing w:after="0" w:before="6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Yu, Q. (2026d). System of Eternity Dynamic System v2.0: Network Dynamics Core. Research Artifact.</w:t>
      </w:r>
    </w:p>
    <w:p>
      <w:pPr>
        <w:spacing w:after="0" w:before="6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Yu, Q. (2026e). Trinity Framework of Cognitive Systems v5. Preprint.</w:t>
      </w:r>
    </w:p>
    <w:p>
      <w:pPr>
        <w:spacing w:after="0" w:before="60"/>
      </w:pPr>
      <w:r>
        <w:t xml:space="preserve"/>
      </w:r>
    </w:p>
    <w:p>
      <w:pPr>
        <w:spacing w:after="80" w:before="80" w:line="276"/>
        <w:jc w:val="both"/>
      </w:pPr>
      <w:r>
        <w:rPr>
          <w:rFonts w:ascii="Times New Roman" w:cs="Times New Roman" w:eastAsia="Times New Roman" w:hAnsi="Times New Roman"/>
          <w:b w:val="false"/>
          <w:bCs w:val="false"/>
          <w:i w:val="false"/>
          <w:iCs w:val="false"/>
          <w:color w:val="000000"/>
          <w:sz w:val="24"/>
          <w:szCs w:val="24"/>
        </w:rPr>
        <w:t xml:space="preserve">Yu, Q. (2026f). The Unification Method (归一法): A Foundational Framework for Civilizational Conflict Resolution. Preprint.</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2E5596" w:sz="4" w:space="1"/>
      </w:pBdr>
      <w:tabs>
        <w:tab w:val="right" w:pos="9360"/>
      </w:tabs>
    </w:pPr>
    <w:r>
      <w:rPr>
        <w:rFonts w:ascii="Arial" w:cs="Arial" w:eastAsia="Arial" w:hAnsi="Arial"/>
        <w:color w:val="2E5596"/>
        <w:sz w:val="18"/>
        <w:szCs w:val="18"/>
      </w:rPr>
      <w:t xml:space="preserve">QianJun Yu  |  Independent Researcher</w:t>
    </w:r>
    <w:r>
      <w:rPr>
        <w:sz w:val="18"/>
        <w:szCs w:val="18"/>
      </w:rPr>
      <w:t xml:space="preserve">	</w:t>
    </w:r>
    <w:fldSimple w:instr="PAGE">
      <w:r>
        <w:rPr>
          <w:rFonts w:ascii="Arial" w:cs="Arial" w:eastAsia="Arial" w:hAnsi="Arial"/>
          <w:color w:val="2E5596"/>
          <w:sz w:val="18"/>
          <w:szCs w:val="18"/>
        </w:rPr>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E5596" w:sz="4" w:space="1"/>
      </w:pBdr>
      <w:jc w:val="right"/>
    </w:pPr>
    <w:r>
      <w:rPr>
        <w:rFonts w:ascii="Arial" w:cs="Arial" w:eastAsia="Arial" w:hAnsi="Arial"/>
        <w:color w:val="2E5596"/>
        <w:sz w:val="18"/>
        <w:szCs w:val="18"/>
      </w:rPr>
      <w:t xml:space="preserve">Level Ascension  |  Preprint 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rPr>
        <w:rFonts w:ascii="Arial" w:cs="Arial" w:eastAsia="Arial" w:hAnsi="Arial"/>
        <w:sz w:val="24"/>
        <w:szCs w:val="24"/>
      </w:r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80" w:before="360"/>
      <w:outlineLvl w:val="0"/>
    </w:pPr>
    <w:rPr>
      <w:rFonts w:ascii="Arial" w:cs="Arial" w:eastAsia="Arial" w:hAnsi="Arial"/>
      <w:b/>
      <w:bCs/>
      <w:color w:val="1F3864"/>
      <w:sz w:val="32"/>
      <w:szCs w:val="32"/>
    </w:rPr>
  </w:style>
  <w:style w:type="paragraph" w:styleId="Heading2">
    <w:name w:val="Heading 2"/>
    <w:basedOn w:val="Normal"/>
    <w:next w:val="Normal"/>
    <w:qFormat/>
    <w:pPr>
      <w:spacing w:after="140" w:before="280"/>
      <w:outlineLvl w:val="1"/>
    </w:pPr>
    <w:rPr>
      <w:rFonts w:ascii="Arial" w:cs="Arial" w:eastAsia="Arial" w:hAnsi="Arial"/>
      <w:b/>
      <w:bCs/>
      <w:color w:val="2E5596"/>
      <w:sz w:val="28"/>
      <w:szCs w:val="28"/>
    </w:rPr>
  </w:style>
  <w:style w:type="paragraph" w:styleId="Heading3">
    <w:name w:val="Heading 3"/>
    <w:basedOn w:val="Normal"/>
    <w:next w:val="Normal"/>
    <w:qFormat/>
    <w:pPr>
      <w:spacing w:after="100" w:before="200"/>
      <w:outlineLvl w:val="2"/>
    </w:pPr>
    <w:rPr>
      <w:rFonts w:ascii="Arial" w:cs="Arial" w:eastAsia="Arial" w:hAnsi="Arial"/>
      <w:b/>
      <w:bCs/>
      <w:color w:val="4A6FA5"/>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050880e5bec0434de8f0ae2526903cfb70abe62e.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2026-05-03T18:49:30.284Z</dcterms:created>
  <dcterms:modified xsi:type="dcterms:W3CDTF">2026-05-03T18:49:30.300Z</dcterms:modified>
</cp:coreProperties>
</file>

<file path=docProps/custom.xml><?xml version="1.0" encoding="utf-8"?>
<Properties xmlns="http://schemas.openxmlformats.org/officeDocument/2006/custom-properties" xmlns:vt="http://schemas.openxmlformats.org/officeDocument/2006/docPropsVTypes"/>
</file>